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2.xml" ContentType="application/vnd.openxmlformats-officedocument.drawingml.chartshapes+xml"/>
  <Override PartName="/word/charts/chart9.xml" ContentType="application/vnd.openxmlformats-officedocument.drawingml.chart+xml"/>
  <Override PartName="/word/drawings/drawing3.xml" ContentType="application/vnd.openxmlformats-officedocument.drawingml.chartshapes+xml"/>
  <Override PartName="/word/charts/chart10.xml" ContentType="application/vnd.openxmlformats-officedocument.drawingml.chart+xml"/>
  <Override PartName="/word/drawings/drawing4.xml" ContentType="application/vnd.openxmlformats-officedocument.drawingml.chartshapes+xml"/>
  <Override PartName="/word/charts/chart11.xml" ContentType="application/vnd.openxmlformats-officedocument.drawingml.chart+xml"/>
  <Override PartName="/word/drawings/drawing5.xml" ContentType="application/vnd.openxmlformats-officedocument.drawingml.chartshapes+xml"/>
  <Override PartName="/word/charts/chart12.xml" ContentType="application/vnd.openxmlformats-officedocument.drawingml.chart+xml"/>
  <Override PartName="/word/drawings/drawing6.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D2" w:rsidRDefault="0043274C" w:rsidP="006D6A10">
      <w:pPr>
        <w:pStyle w:val="Title"/>
      </w:pPr>
      <w:r>
        <w:rPr>
          <w:noProof/>
        </w:rPr>
        <w:drawing>
          <wp:anchor distT="0" distB="0" distL="114300" distR="114300" simplePos="0" relativeHeight="251669504" behindDoc="0" locked="0" layoutInCell="1" allowOverlap="1">
            <wp:simplePos x="0" y="0"/>
            <wp:positionH relativeFrom="margin">
              <wp:posOffset>-371475</wp:posOffset>
            </wp:positionH>
            <wp:positionV relativeFrom="margin">
              <wp:posOffset>180975</wp:posOffset>
            </wp:positionV>
            <wp:extent cx="1600200" cy="1066800"/>
            <wp:effectExtent l="57150" t="38100" r="114300" b="95250"/>
            <wp:wrapSquare wrapText="bothSides"/>
            <wp:docPr id="17" name="Picture 4" descr="MPj040205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j04020550000[1]"/>
                    <pic:cNvPicPr>
                      <a:picLocks noChangeAspect="1" noChangeArrowheads="1"/>
                    </pic:cNvPicPr>
                  </pic:nvPicPr>
                  <pic:blipFill>
                    <a:blip r:embed="rId9" cstate="print"/>
                    <a:srcRect/>
                    <a:stretch>
                      <a:fillRect/>
                    </a:stretch>
                  </pic:blipFill>
                  <pic:spPr bwMode="auto">
                    <a:xfrm>
                      <a:off x="0" y="0"/>
                      <a:ext cx="1600200" cy="1066800"/>
                    </a:xfrm>
                    <a:prstGeom prst="rect">
                      <a:avLst/>
                    </a:prstGeom>
                    <a:noFill/>
                    <a:ln w="38100">
                      <a:solidFill>
                        <a:srgbClr val="EEECE1"/>
                      </a:solidFill>
                      <a:miter lim="800000"/>
                      <a:headEnd/>
                      <a:tailEnd/>
                    </a:ln>
                    <a:effectLst>
                      <a:outerShdw dist="107763" dir="2700000" algn="ctr" rotWithShape="0">
                        <a:srgbClr val="000000">
                          <a:alpha val="50000"/>
                        </a:srgbClr>
                      </a:outerShdw>
                    </a:effectLst>
                  </pic:spPr>
                </pic:pic>
              </a:graphicData>
            </a:graphic>
          </wp:anchor>
        </w:drawing>
      </w:r>
    </w:p>
    <w:p w:rsidR="005245D2" w:rsidRDefault="005245D2" w:rsidP="005245D2">
      <w:pPr>
        <w:jc w:val="center"/>
        <w:rPr>
          <w:b/>
        </w:rPr>
      </w:pPr>
    </w:p>
    <w:p w:rsidR="0043274C" w:rsidRDefault="0043274C" w:rsidP="005245D2">
      <w:pPr>
        <w:jc w:val="center"/>
        <w:rPr>
          <w:b/>
        </w:rPr>
      </w:pPr>
    </w:p>
    <w:p w:rsidR="0043274C" w:rsidRDefault="0043274C" w:rsidP="005245D2">
      <w:pPr>
        <w:jc w:val="center"/>
        <w:rPr>
          <w:b/>
        </w:rPr>
      </w:pPr>
    </w:p>
    <w:p w:rsidR="00C027C6" w:rsidRDefault="00F84939" w:rsidP="00C027C6">
      <w:pPr>
        <w:pStyle w:val="Title"/>
        <w:jc w:val="center"/>
      </w:pPr>
      <w:r>
        <w:t>Permanency Enhancement Annual Report (FY 11)</w:t>
      </w:r>
      <w:r w:rsidR="00C027C6">
        <w:t>:</w:t>
      </w:r>
    </w:p>
    <w:p w:rsidR="00C027C6" w:rsidRDefault="00C027C6" w:rsidP="00C027C6">
      <w:pPr>
        <w:pStyle w:val="Title"/>
        <w:jc w:val="center"/>
        <w:rPr>
          <w:i/>
          <w:sz w:val="40"/>
          <w:szCs w:val="40"/>
        </w:rPr>
      </w:pPr>
    </w:p>
    <w:p w:rsidR="00C027C6" w:rsidRDefault="00A62F09" w:rsidP="00C027C6">
      <w:pPr>
        <w:pStyle w:val="Title"/>
        <w:jc w:val="center"/>
        <w:rPr>
          <w:i/>
          <w:sz w:val="40"/>
          <w:szCs w:val="40"/>
        </w:rPr>
      </w:pPr>
      <w:r w:rsidRPr="00C027C6">
        <w:rPr>
          <w:i/>
          <w:sz w:val="40"/>
          <w:szCs w:val="40"/>
        </w:rPr>
        <w:t xml:space="preserve">Trends in Entry into Foster Care </w:t>
      </w:r>
    </w:p>
    <w:p w:rsidR="00A62F09" w:rsidRPr="00C027C6" w:rsidRDefault="00A62F09" w:rsidP="00C027C6">
      <w:pPr>
        <w:pStyle w:val="Title"/>
        <w:jc w:val="center"/>
        <w:rPr>
          <w:i/>
          <w:sz w:val="40"/>
          <w:szCs w:val="40"/>
        </w:rPr>
      </w:pPr>
      <w:r w:rsidRPr="00C027C6">
        <w:rPr>
          <w:i/>
          <w:sz w:val="40"/>
          <w:szCs w:val="40"/>
        </w:rPr>
        <w:t>by Region</w:t>
      </w:r>
      <w:r w:rsidR="00C027C6">
        <w:rPr>
          <w:i/>
          <w:sz w:val="40"/>
          <w:szCs w:val="40"/>
        </w:rPr>
        <w:t xml:space="preserve"> (</w:t>
      </w:r>
      <w:r w:rsidRPr="00C027C6">
        <w:rPr>
          <w:i/>
          <w:sz w:val="40"/>
          <w:szCs w:val="40"/>
        </w:rPr>
        <w:t>2001 – 2010</w:t>
      </w:r>
      <w:r w:rsidR="00C027C6">
        <w:rPr>
          <w:i/>
          <w:sz w:val="40"/>
          <w:szCs w:val="40"/>
        </w:rPr>
        <w:t>)</w:t>
      </w:r>
    </w:p>
    <w:p w:rsidR="00A62F09" w:rsidRPr="002E005F" w:rsidRDefault="00A62F09" w:rsidP="00A62F09">
      <w:pPr>
        <w:pStyle w:val="Subtitle"/>
        <w:jc w:val="center"/>
        <w:rPr>
          <w:b/>
          <w:sz w:val="32"/>
          <w:szCs w:val="32"/>
        </w:rPr>
      </w:pPr>
      <w:r w:rsidRPr="002E005F">
        <w:rPr>
          <w:b/>
          <w:sz w:val="32"/>
          <w:szCs w:val="32"/>
        </w:rPr>
        <w:t>Summary</w:t>
      </w:r>
    </w:p>
    <w:p w:rsidR="00A62F09" w:rsidRDefault="00A62F09" w:rsidP="00A62F09"/>
    <w:p w:rsidR="00A62F09" w:rsidRDefault="00A62F09" w:rsidP="00A62F09">
      <w:r>
        <w:t>Illinois has seen a decline in numbers of entries into foster care over the past decade.  In 2001 5,828 children entered foster care.  In 2010 this number was 4,989. This is a decline of 14%.</w:t>
      </w:r>
    </w:p>
    <w:p w:rsidR="00A62F09" w:rsidRDefault="00A62F09" w:rsidP="00A62F09">
      <w:r>
        <w:t>The regions differed in entry patterns.  The three Cook regions saw significant reductions.  In Cook Central and Cook South, most of the children entering care are African American.  Both regions saw dramatic declines in African American children entering care.</w:t>
      </w:r>
    </w:p>
    <w:p w:rsidR="00A62F09" w:rsidRDefault="00A62F09" w:rsidP="00A62F09">
      <w:r>
        <w:t>Cook North is more diverse in entries. This region also saw a significant decline in African American entries.  In 2010, for the first time in a decade, the numbers of Caucasian children entering care were higher than the number of African American children.</w:t>
      </w:r>
    </w:p>
    <w:p w:rsidR="00A62F09" w:rsidRDefault="00A62F09" w:rsidP="00A62F09">
      <w:r>
        <w:t xml:space="preserve">The case outside the Chicago metro area is different.  Each of the three regions saw an </w:t>
      </w:r>
      <w:r w:rsidRPr="00065D78">
        <w:rPr>
          <w:b/>
          <w:i/>
        </w:rPr>
        <w:t>increase</w:t>
      </w:r>
      <w:r>
        <w:t xml:space="preserve"> in numbers of children entering care. The difference is largely accounted for by the increase in Caucasian children.  </w:t>
      </w:r>
      <w:r w:rsidRPr="008E5E1F">
        <w:rPr>
          <w:u w:val="single"/>
        </w:rPr>
        <w:t xml:space="preserve">Yet while numbers of Caucasian children entries were increasing in each </w:t>
      </w:r>
      <w:r>
        <w:rPr>
          <w:u w:val="single"/>
        </w:rPr>
        <w:t xml:space="preserve">downstate </w:t>
      </w:r>
      <w:r w:rsidRPr="008E5E1F">
        <w:rPr>
          <w:u w:val="single"/>
        </w:rPr>
        <w:t>region, numbers of African American entries stayed the same or declined slightly.</w:t>
      </w:r>
    </w:p>
    <w:p w:rsidR="00A62F09" w:rsidRDefault="00A62F09" w:rsidP="00A62F09"/>
    <w:p w:rsidR="004C6FD0" w:rsidRDefault="004C6FD0" w:rsidP="00A62F09"/>
    <w:p w:rsidR="004C6FD0" w:rsidRDefault="004C6FD0" w:rsidP="00A62F09"/>
    <w:p w:rsidR="00A62F09" w:rsidRPr="00AA258B" w:rsidRDefault="00A62F09" w:rsidP="00A62F09"/>
    <w:p w:rsidR="00A62F09" w:rsidRPr="00C06D4A" w:rsidRDefault="00A62F09" w:rsidP="00A62F09"/>
    <w:p w:rsidR="00A62F09" w:rsidRDefault="00A62F09" w:rsidP="00A62F09">
      <w:pPr>
        <w:pStyle w:val="Heading2"/>
        <w:rPr>
          <w:shd w:val="clear" w:color="auto" w:fill="DDD9D9" w:themeFill="text2" w:themeFillTint="33"/>
        </w:rPr>
      </w:pPr>
      <w:r w:rsidRPr="004C6FD0">
        <w:rPr>
          <w:shd w:val="clear" w:color="auto" w:fill="DDD9D9" w:themeFill="text2" w:themeFillTint="33"/>
        </w:rPr>
        <w:lastRenderedPageBreak/>
        <w:t>Trends in Entry into Care in Illinois</w:t>
      </w:r>
    </w:p>
    <w:p w:rsidR="00A62F09" w:rsidRDefault="00A62F09" w:rsidP="00A62F09">
      <w:pPr>
        <w:rPr>
          <w:rFonts w:asciiTheme="majorHAnsi" w:eastAsiaTheme="majorEastAsia" w:hAnsiTheme="majorHAnsi" w:cstheme="majorBidi"/>
          <w:b/>
          <w:bCs/>
          <w:color w:val="C66951" w:themeColor="accent1"/>
          <w:sz w:val="26"/>
          <w:szCs w:val="26"/>
          <w:shd w:val="clear" w:color="auto" w:fill="DDD9D9" w:themeFill="text2" w:themeFillTint="33"/>
        </w:rPr>
      </w:pPr>
      <w:bookmarkStart w:id="0" w:name="_GoBack"/>
      <w:bookmarkEnd w:id="0"/>
    </w:p>
    <w:p w:rsidR="00A62F09" w:rsidRDefault="00A62F09" w:rsidP="00A62F09">
      <w:r>
        <w:t xml:space="preserve">In our efforts to understand disparity it is important to consider trends in care over time as well as trends in entry into care by race and ethnicity.  </w:t>
      </w:r>
    </w:p>
    <w:p w:rsidR="00A62F09" w:rsidRDefault="00A62F09" w:rsidP="00A62F09">
      <w:r>
        <w:t>While any involvement with the child welfare system has the potential to be disruptive to families, having a child removed and placed in foster care is the most disruptive to family life. In this section we review Statewide and regional entries into care over a ten year period.</w:t>
      </w:r>
    </w:p>
    <w:p w:rsidR="00A62F09" w:rsidRDefault="00A62F09" w:rsidP="00A62F09">
      <w:pPr>
        <w:pStyle w:val="Heading3"/>
      </w:pPr>
      <w:r>
        <w:t xml:space="preserve">                      </w:t>
      </w:r>
    </w:p>
    <w:p w:rsidR="00A62F09" w:rsidRDefault="00A62F09" w:rsidP="00A62F09">
      <w:r w:rsidRPr="00C06D4A">
        <w:rPr>
          <w:noProof/>
        </w:rPr>
        <w:drawing>
          <wp:inline distT="0" distB="0" distL="0" distR="0">
            <wp:extent cx="4575779" cy="3422754"/>
            <wp:effectExtent l="19050" t="0" r="15271" b="6246"/>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2F09" w:rsidRPr="00DD57F7" w:rsidRDefault="00A62F09" w:rsidP="00A62F09">
      <w:pPr>
        <w:rPr>
          <w:sz w:val="18"/>
          <w:szCs w:val="18"/>
        </w:rPr>
      </w:pPr>
      <w:r>
        <w:rPr>
          <w:sz w:val="18"/>
          <w:szCs w:val="18"/>
        </w:rPr>
        <w:t xml:space="preserve">Derived from data from the </w:t>
      </w:r>
      <w:r w:rsidRPr="00DD57F7">
        <w:rPr>
          <w:sz w:val="18"/>
          <w:szCs w:val="18"/>
        </w:rPr>
        <w:t>Child and Family Research Center</w:t>
      </w:r>
      <w:r>
        <w:rPr>
          <w:sz w:val="18"/>
          <w:szCs w:val="18"/>
        </w:rPr>
        <w:t>, 2011</w:t>
      </w:r>
    </w:p>
    <w:p w:rsidR="00A62F09" w:rsidRPr="00CB02A2" w:rsidRDefault="00A62F09" w:rsidP="00A62F09">
      <w:pPr>
        <w:rPr>
          <w:b/>
        </w:rPr>
      </w:pPr>
      <w:r>
        <w:t xml:space="preserve">Numbers of children entering care per year have declined from 5,828 to 4,989, a decrease of </w:t>
      </w:r>
      <w:r>
        <w:rPr>
          <w:b/>
        </w:rPr>
        <w:t>14</w:t>
      </w:r>
      <w:r w:rsidRPr="00DD57F7">
        <w:rPr>
          <w:b/>
        </w:rPr>
        <w:t>%</w:t>
      </w:r>
      <w:r>
        <w:rPr>
          <w:b/>
        </w:rPr>
        <w:t xml:space="preserve"> </w:t>
      </w:r>
      <w:r>
        <w:t>over the ten year period</w:t>
      </w:r>
      <w:r w:rsidRPr="00DD57F7">
        <w:rPr>
          <w:b/>
        </w:rPr>
        <w:t>.</w:t>
      </w:r>
      <w:r>
        <w:rPr>
          <w:b/>
        </w:rPr>
        <w:t xml:space="preserve"> </w:t>
      </w:r>
      <w:r>
        <w:t xml:space="preserve">The decline is </w:t>
      </w:r>
      <w:r w:rsidRPr="00DD57F7">
        <w:rPr>
          <w:b/>
        </w:rPr>
        <w:t>due to reduction of numbers of</w:t>
      </w:r>
      <w:r>
        <w:t xml:space="preserve"> </w:t>
      </w:r>
      <w:r>
        <w:rPr>
          <w:b/>
          <w:i/>
        </w:rPr>
        <w:t>African American children</w:t>
      </w:r>
      <w:r>
        <w:t xml:space="preserve"> entering care. These have declined dramatically, from 3,277 to 2,139, a decline of </w:t>
      </w:r>
      <w:r w:rsidRPr="00DD57F7">
        <w:rPr>
          <w:b/>
        </w:rPr>
        <w:t>35%.</w:t>
      </w:r>
    </w:p>
    <w:p w:rsidR="00A62F09" w:rsidRPr="00CB02A2" w:rsidRDefault="00A62F09" w:rsidP="00A62F09">
      <w:pPr>
        <w:rPr>
          <w:b/>
        </w:rPr>
      </w:pPr>
      <w:r>
        <w:t xml:space="preserve">The numbers of Caucasian youth have </w:t>
      </w:r>
      <w:r w:rsidRPr="00DD57F7">
        <w:rPr>
          <w:b/>
        </w:rPr>
        <w:t>risen</w:t>
      </w:r>
      <w:r>
        <w:t xml:space="preserve"> from 2,009 to 2,473, an increase of </w:t>
      </w:r>
      <w:r w:rsidRPr="00DD57F7">
        <w:rPr>
          <w:b/>
        </w:rPr>
        <w:t>23%.</w:t>
      </w:r>
      <w:r>
        <w:rPr>
          <w:b/>
        </w:rPr>
        <w:t xml:space="preserve"> </w:t>
      </w:r>
      <w:r>
        <w:t>Beginning in 2008, the numbers of Caucasian children entering care were greater than the numbers of African American children.</w:t>
      </w:r>
      <w:r>
        <w:rPr>
          <w:b/>
        </w:rPr>
        <w:t xml:space="preserve">  </w:t>
      </w:r>
      <w:r>
        <w:t xml:space="preserve">Significant over-representation of African American children in care remains, but has declined. </w:t>
      </w:r>
    </w:p>
    <w:p w:rsidR="00A62F09" w:rsidRDefault="00A62F09" w:rsidP="00A62F09">
      <w:r>
        <w:br w:type="page"/>
      </w:r>
    </w:p>
    <w:p w:rsidR="00A62F09" w:rsidRDefault="00A62F09" w:rsidP="00A62F09">
      <w:pPr>
        <w:pStyle w:val="Heading1"/>
        <w:jc w:val="center"/>
        <w:rPr>
          <w:sz w:val="24"/>
          <w:szCs w:val="24"/>
        </w:rPr>
      </w:pPr>
    </w:p>
    <w:p w:rsidR="00A62F09" w:rsidRPr="005479FC" w:rsidRDefault="00A62F09" w:rsidP="00A62F09">
      <w:pPr>
        <w:pStyle w:val="Heading1"/>
        <w:jc w:val="center"/>
        <w:rPr>
          <w:sz w:val="24"/>
          <w:szCs w:val="24"/>
        </w:rPr>
      </w:pPr>
      <w:r w:rsidRPr="005479FC">
        <w:rPr>
          <w:sz w:val="24"/>
          <w:szCs w:val="24"/>
        </w:rPr>
        <w:t>Trends in Entry into Foster Care</w:t>
      </w:r>
      <w:r>
        <w:rPr>
          <w:sz w:val="24"/>
          <w:szCs w:val="24"/>
        </w:rPr>
        <w:t xml:space="preserve"> by Region</w:t>
      </w:r>
      <w:r w:rsidRPr="005479FC">
        <w:rPr>
          <w:sz w:val="24"/>
          <w:szCs w:val="24"/>
        </w:rPr>
        <w:t xml:space="preserve">: </w:t>
      </w:r>
      <w:r>
        <w:rPr>
          <w:sz w:val="24"/>
          <w:szCs w:val="24"/>
        </w:rPr>
        <w:t>2001 - 2010</w:t>
      </w:r>
    </w:p>
    <w:p w:rsidR="00A62F09" w:rsidRDefault="00A62F09" w:rsidP="00A62F09"/>
    <w:p w:rsidR="00A62F09" w:rsidRDefault="00A62F09" w:rsidP="00AD0FE1">
      <w:pPr>
        <w:jc w:val="center"/>
        <w:rPr>
          <w:noProof/>
        </w:rPr>
      </w:pPr>
      <w:r w:rsidRPr="005479FC">
        <w:rPr>
          <w:noProof/>
        </w:rPr>
        <w:drawing>
          <wp:inline distT="0" distB="0" distL="0" distR="0">
            <wp:extent cx="4572000" cy="3381966"/>
            <wp:effectExtent l="19050" t="0" r="19050" b="8934"/>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2F09" w:rsidRDefault="00A62F09" w:rsidP="00A62F09"/>
    <w:p w:rsidR="00A62F09" w:rsidRDefault="00A62F09" w:rsidP="00A62F09">
      <w:r>
        <w:t xml:space="preserve">Northern region has seen an increase in entries by year from 2001 to 2010, with 9% more youth entering care in 2010. </w:t>
      </w:r>
    </w:p>
    <w:p w:rsidR="00A62F09" w:rsidRDefault="00A62F09" w:rsidP="00A62F09">
      <w:r>
        <w:t xml:space="preserve">While increases occurred across groups, the </w:t>
      </w:r>
      <w:r w:rsidRPr="008669D3">
        <w:rPr>
          <w:b/>
        </w:rPr>
        <w:t>highest</w:t>
      </w:r>
      <w:r>
        <w:rPr>
          <w:b/>
        </w:rPr>
        <w:t xml:space="preserve"> percent increase was among</w:t>
      </w:r>
      <w:r w:rsidRPr="008669D3">
        <w:rPr>
          <w:b/>
        </w:rPr>
        <w:t xml:space="preserve"> Caucasian children</w:t>
      </w:r>
      <w:r>
        <w:t>, from 406 in 2001 to 496 in 2010, an increase of 22%.</w:t>
      </w:r>
      <w:r>
        <w:br w:type="page"/>
      </w:r>
    </w:p>
    <w:p w:rsidR="00A62F09" w:rsidRDefault="00A62F09" w:rsidP="00A62F09">
      <w:pPr>
        <w:pStyle w:val="Heading1"/>
        <w:jc w:val="center"/>
        <w:rPr>
          <w:sz w:val="24"/>
          <w:szCs w:val="24"/>
        </w:rPr>
      </w:pPr>
      <w:r w:rsidRPr="005479FC">
        <w:rPr>
          <w:sz w:val="24"/>
          <w:szCs w:val="24"/>
        </w:rPr>
        <w:lastRenderedPageBreak/>
        <w:t>Trends in Entry into Foster Care</w:t>
      </w:r>
      <w:r>
        <w:rPr>
          <w:sz w:val="24"/>
          <w:szCs w:val="24"/>
        </w:rPr>
        <w:t xml:space="preserve"> by Region</w:t>
      </w:r>
      <w:r w:rsidRPr="005479FC">
        <w:rPr>
          <w:sz w:val="24"/>
          <w:szCs w:val="24"/>
        </w:rPr>
        <w:t xml:space="preserve">: </w:t>
      </w:r>
      <w:r>
        <w:rPr>
          <w:sz w:val="24"/>
          <w:szCs w:val="24"/>
        </w:rPr>
        <w:t>2001 – 2010</w:t>
      </w:r>
    </w:p>
    <w:p w:rsidR="00A62F09" w:rsidRPr="008669D3" w:rsidRDefault="00A62F09" w:rsidP="00A62F09"/>
    <w:p w:rsidR="00A62F09" w:rsidRDefault="00A62F09" w:rsidP="00AD0FE1">
      <w:pPr>
        <w:jc w:val="center"/>
      </w:pPr>
      <w:r w:rsidRPr="001F4396">
        <w:rPr>
          <w:noProof/>
        </w:rPr>
        <w:drawing>
          <wp:inline distT="0" distB="0" distL="0" distR="0">
            <wp:extent cx="4570686" cy="3383280"/>
            <wp:effectExtent l="19050" t="0" r="20364" b="762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2F09" w:rsidRDefault="00A62F09" w:rsidP="00A62F09"/>
    <w:p w:rsidR="00A62F09" w:rsidRDefault="00A62F09" w:rsidP="00A62F09">
      <w:r>
        <w:t>Southern region saw a significant increase in entries into care, from 663 to 917, or 38%.</w:t>
      </w:r>
    </w:p>
    <w:p w:rsidR="00A62F09" w:rsidRDefault="00A62F09" w:rsidP="00A62F09">
      <w:r>
        <w:t xml:space="preserve">Overall, there was </w:t>
      </w:r>
      <w:r>
        <w:rPr>
          <w:b/>
          <w:i/>
        </w:rPr>
        <w:t>no</w:t>
      </w:r>
      <w:r>
        <w:t xml:space="preserve"> increase in African American entries, but </w:t>
      </w:r>
      <w:r w:rsidR="002E005F">
        <w:rPr>
          <w:b/>
        </w:rPr>
        <w:t>significant increase in</w:t>
      </w:r>
      <w:r w:rsidRPr="00DA5633">
        <w:rPr>
          <w:b/>
        </w:rPr>
        <w:t xml:space="preserve"> Caucasian entries</w:t>
      </w:r>
      <w:r>
        <w:t>, from 423 to 670, or an increase of 58%.</w:t>
      </w:r>
      <w:r>
        <w:br w:type="page"/>
      </w:r>
    </w:p>
    <w:p w:rsidR="00A62F09" w:rsidRDefault="00A62F09" w:rsidP="00A62F09">
      <w:pPr>
        <w:pStyle w:val="Heading1"/>
        <w:jc w:val="center"/>
        <w:rPr>
          <w:sz w:val="24"/>
          <w:szCs w:val="24"/>
        </w:rPr>
      </w:pPr>
    </w:p>
    <w:p w:rsidR="00A62F09" w:rsidRPr="005479FC" w:rsidRDefault="00A62F09" w:rsidP="00A62F09">
      <w:pPr>
        <w:pStyle w:val="Heading1"/>
        <w:jc w:val="center"/>
        <w:rPr>
          <w:sz w:val="24"/>
          <w:szCs w:val="24"/>
        </w:rPr>
      </w:pPr>
      <w:r w:rsidRPr="005479FC">
        <w:rPr>
          <w:sz w:val="24"/>
          <w:szCs w:val="24"/>
        </w:rPr>
        <w:t>Trends in Entry into Foster Care</w:t>
      </w:r>
      <w:r>
        <w:rPr>
          <w:sz w:val="24"/>
          <w:szCs w:val="24"/>
        </w:rPr>
        <w:t xml:space="preserve"> by Region</w:t>
      </w:r>
      <w:r w:rsidRPr="005479FC">
        <w:rPr>
          <w:sz w:val="24"/>
          <w:szCs w:val="24"/>
        </w:rPr>
        <w:t xml:space="preserve">: </w:t>
      </w:r>
      <w:r>
        <w:rPr>
          <w:sz w:val="24"/>
          <w:szCs w:val="24"/>
        </w:rPr>
        <w:t>2001 - 2010</w:t>
      </w:r>
    </w:p>
    <w:p w:rsidR="00A62F09" w:rsidRDefault="00A62F09" w:rsidP="00A62F09"/>
    <w:p w:rsidR="00A62F09" w:rsidRDefault="00A62F09" w:rsidP="00AD0FE1">
      <w:pPr>
        <w:jc w:val="center"/>
      </w:pPr>
      <w:r w:rsidRPr="005479FC">
        <w:rPr>
          <w:noProof/>
        </w:rPr>
        <w:drawing>
          <wp:inline distT="0" distB="0" distL="0" distR="0">
            <wp:extent cx="4572000" cy="3381966"/>
            <wp:effectExtent l="19050" t="0" r="19050" b="8934"/>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2F09" w:rsidRDefault="00A62F09" w:rsidP="00A62F09"/>
    <w:p w:rsidR="00A62F09" w:rsidRDefault="00A62F09" w:rsidP="00A62F09">
      <w:r>
        <w:t>Central region saw an increase in entries into care, from 1,485 to 1,646, or 11%.</w:t>
      </w:r>
    </w:p>
    <w:p w:rsidR="00A62F09" w:rsidRDefault="00A62F09" w:rsidP="00A62F09">
      <w:r>
        <w:t xml:space="preserve">All of this increase was due to </w:t>
      </w:r>
      <w:r w:rsidRPr="00DA5633">
        <w:rPr>
          <w:b/>
        </w:rPr>
        <w:t>increases in Caucasian entries</w:t>
      </w:r>
      <w:r>
        <w:t>, from 836 to 1,044, or 25%.</w:t>
      </w:r>
    </w:p>
    <w:p w:rsidR="00A62F09" w:rsidRDefault="00A62F09" w:rsidP="00A62F09">
      <w:r>
        <w:t>Beginning in 2008, rates of African American entries declined markedly.  While rates over the 10 years went down only slightly (1%), rates from the high of 2007 had declined 11% in 2010.</w:t>
      </w:r>
    </w:p>
    <w:p w:rsidR="00A62F09" w:rsidRDefault="00A62F09" w:rsidP="00A62F09">
      <w:r>
        <w:br w:type="page"/>
      </w:r>
    </w:p>
    <w:p w:rsidR="00A62F09" w:rsidRPr="005479FC" w:rsidRDefault="00A62F09" w:rsidP="00A62F09">
      <w:pPr>
        <w:pStyle w:val="Heading1"/>
        <w:jc w:val="center"/>
        <w:rPr>
          <w:sz w:val="24"/>
          <w:szCs w:val="24"/>
        </w:rPr>
      </w:pPr>
      <w:r w:rsidRPr="005479FC">
        <w:rPr>
          <w:sz w:val="24"/>
          <w:szCs w:val="24"/>
        </w:rPr>
        <w:lastRenderedPageBreak/>
        <w:t>Trends in Entry into Foster Care</w:t>
      </w:r>
      <w:r>
        <w:rPr>
          <w:sz w:val="24"/>
          <w:szCs w:val="24"/>
        </w:rPr>
        <w:t xml:space="preserve"> by Region</w:t>
      </w:r>
      <w:r w:rsidRPr="005479FC">
        <w:rPr>
          <w:sz w:val="24"/>
          <w:szCs w:val="24"/>
        </w:rPr>
        <w:t xml:space="preserve">: </w:t>
      </w:r>
      <w:r>
        <w:rPr>
          <w:sz w:val="24"/>
          <w:szCs w:val="24"/>
        </w:rPr>
        <w:t>2001 - 2010</w:t>
      </w:r>
    </w:p>
    <w:p w:rsidR="00A62F09" w:rsidRDefault="00A62F09" w:rsidP="00A62F09">
      <w:pPr>
        <w:jc w:val="center"/>
      </w:pPr>
    </w:p>
    <w:p w:rsidR="00A62F09" w:rsidRDefault="00A62F09" w:rsidP="00A62F09">
      <w:pPr>
        <w:jc w:val="center"/>
      </w:pPr>
      <w:r w:rsidRPr="001F4396">
        <w:rPr>
          <w:noProof/>
        </w:rPr>
        <w:drawing>
          <wp:inline distT="0" distB="0" distL="0" distR="0">
            <wp:extent cx="4570686" cy="3383280"/>
            <wp:effectExtent l="19050" t="0" r="20364" b="7620"/>
            <wp:docPr id="1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62F09" w:rsidRDefault="00A62F09" w:rsidP="00A62F09">
      <w:r>
        <w:t xml:space="preserve">Cook North saw significant decreases in entries into care, from 346 children in 2001 to 225 in 2010, or 35%.  </w:t>
      </w:r>
    </w:p>
    <w:p w:rsidR="00A62F09" w:rsidRDefault="00A62F09" w:rsidP="00A62F09">
      <w:r>
        <w:t xml:space="preserve">The difference occurred among </w:t>
      </w:r>
      <w:r>
        <w:rPr>
          <w:b/>
          <w:i/>
        </w:rPr>
        <w:t>African American youth</w:t>
      </w:r>
      <w:r>
        <w:rPr>
          <w:b/>
        </w:rPr>
        <w:t xml:space="preserve">, </w:t>
      </w:r>
      <w:r>
        <w:t>where numbers declined from 179 to 75, or 42%.</w:t>
      </w:r>
    </w:p>
    <w:p w:rsidR="00A62F09" w:rsidRDefault="00A62F09" w:rsidP="00A62F09">
      <w:r>
        <w:t>Caucasian youth entries surpassed African American youth entries in 2010.</w:t>
      </w:r>
    </w:p>
    <w:p w:rsidR="00A62F09" w:rsidRDefault="00A62F09" w:rsidP="00A62F09">
      <w:r>
        <w:br w:type="page"/>
      </w:r>
    </w:p>
    <w:p w:rsidR="00A62F09" w:rsidRPr="005479FC" w:rsidRDefault="00A62F09" w:rsidP="00A62F09">
      <w:pPr>
        <w:pStyle w:val="Heading1"/>
        <w:jc w:val="center"/>
        <w:rPr>
          <w:sz w:val="24"/>
          <w:szCs w:val="24"/>
        </w:rPr>
      </w:pPr>
      <w:r w:rsidRPr="005479FC">
        <w:rPr>
          <w:sz w:val="24"/>
          <w:szCs w:val="24"/>
        </w:rPr>
        <w:lastRenderedPageBreak/>
        <w:t>Trends in Entry into Foster Care</w:t>
      </w:r>
      <w:r>
        <w:rPr>
          <w:sz w:val="24"/>
          <w:szCs w:val="24"/>
        </w:rPr>
        <w:t xml:space="preserve"> by Region</w:t>
      </w:r>
      <w:r w:rsidRPr="005479FC">
        <w:rPr>
          <w:sz w:val="24"/>
          <w:szCs w:val="24"/>
        </w:rPr>
        <w:t xml:space="preserve">: </w:t>
      </w:r>
      <w:r>
        <w:rPr>
          <w:sz w:val="24"/>
          <w:szCs w:val="24"/>
        </w:rPr>
        <w:t>2001 - 2010</w:t>
      </w:r>
    </w:p>
    <w:p w:rsidR="00A62F09" w:rsidRDefault="00A62F09" w:rsidP="00A62F09"/>
    <w:p w:rsidR="00A62F09" w:rsidRPr="001F4396" w:rsidRDefault="00A62F09" w:rsidP="00AD0FE1">
      <w:pPr>
        <w:jc w:val="center"/>
      </w:pPr>
      <w:r w:rsidRPr="007D46D1">
        <w:rPr>
          <w:noProof/>
        </w:rPr>
        <w:drawing>
          <wp:inline distT="0" distB="0" distL="0" distR="0">
            <wp:extent cx="4572000" cy="3371851"/>
            <wp:effectExtent l="19050" t="0" r="19050" b="0"/>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2F09" w:rsidRDefault="00A62F09" w:rsidP="00A62F09"/>
    <w:p w:rsidR="00A62F09" w:rsidRDefault="00A62F09" w:rsidP="00A62F09">
      <w:r>
        <w:t>Cook South saw significant declines in numbers of entries into care, from 1,283 in 2001 to just 692 in 2010, a decline of 46%.</w:t>
      </w:r>
    </w:p>
    <w:p w:rsidR="00A62F09" w:rsidRDefault="00A62F09" w:rsidP="00A62F09">
      <w:pPr>
        <w:rPr>
          <w:b/>
        </w:rPr>
      </w:pPr>
      <w:r>
        <w:t>The vast majority of children entering care are African American</w:t>
      </w:r>
      <w:r w:rsidRPr="007D46D1">
        <w:rPr>
          <w:b/>
        </w:rPr>
        <w:t>.  Declines in African American entries were dramatic, from 1</w:t>
      </w:r>
      <w:r>
        <w:rPr>
          <w:b/>
        </w:rPr>
        <w:t>,</w:t>
      </w:r>
      <w:r w:rsidRPr="007D46D1">
        <w:rPr>
          <w:b/>
        </w:rPr>
        <w:t>144 in 2001 to</w:t>
      </w:r>
      <w:r>
        <w:rPr>
          <w:b/>
        </w:rPr>
        <w:t xml:space="preserve"> 602 in 2010, a reduction of 52</w:t>
      </w:r>
      <w:r w:rsidRPr="007D46D1">
        <w:rPr>
          <w:b/>
        </w:rPr>
        <w:t>%.</w:t>
      </w:r>
      <w:r>
        <w:rPr>
          <w:b/>
        </w:rPr>
        <w:t xml:space="preserve">  </w:t>
      </w:r>
    </w:p>
    <w:p w:rsidR="00A62F09" w:rsidRDefault="00A62F09" w:rsidP="00A62F09">
      <w:r>
        <w:t>Numbers of children entering care declined in every racial/ethnic category.</w:t>
      </w:r>
    </w:p>
    <w:p w:rsidR="00A62F09" w:rsidRDefault="00A62F09" w:rsidP="00A62F09">
      <w:r>
        <w:br w:type="page"/>
      </w:r>
    </w:p>
    <w:p w:rsidR="00A62F09" w:rsidRDefault="00A62F09" w:rsidP="00A62F09">
      <w:pPr>
        <w:pStyle w:val="Heading1"/>
        <w:jc w:val="center"/>
        <w:rPr>
          <w:sz w:val="24"/>
          <w:szCs w:val="24"/>
        </w:rPr>
      </w:pPr>
      <w:r w:rsidRPr="005479FC">
        <w:rPr>
          <w:sz w:val="24"/>
          <w:szCs w:val="24"/>
        </w:rPr>
        <w:lastRenderedPageBreak/>
        <w:t>Trends in Entry into Foster Care</w:t>
      </w:r>
      <w:r>
        <w:rPr>
          <w:sz w:val="24"/>
          <w:szCs w:val="24"/>
        </w:rPr>
        <w:t xml:space="preserve"> by Region</w:t>
      </w:r>
      <w:r w:rsidRPr="005479FC">
        <w:rPr>
          <w:sz w:val="24"/>
          <w:szCs w:val="24"/>
        </w:rPr>
        <w:t xml:space="preserve">: </w:t>
      </w:r>
      <w:r>
        <w:rPr>
          <w:sz w:val="24"/>
          <w:szCs w:val="24"/>
        </w:rPr>
        <w:t>2001 – 2010</w:t>
      </w:r>
    </w:p>
    <w:p w:rsidR="00A62F09" w:rsidRDefault="00A62F09" w:rsidP="00A62F09"/>
    <w:p w:rsidR="00A62F09" w:rsidRPr="007D46D1" w:rsidRDefault="00A62F09" w:rsidP="00AD0FE1">
      <w:pPr>
        <w:jc w:val="center"/>
      </w:pPr>
      <w:r w:rsidRPr="00191C7E">
        <w:rPr>
          <w:noProof/>
        </w:rPr>
        <w:drawing>
          <wp:inline distT="0" distB="0" distL="0" distR="0">
            <wp:extent cx="4572000" cy="3371851"/>
            <wp:effectExtent l="19050" t="0" r="19050" b="0"/>
            <wp:docPr id="1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62F09" w:rsidRPr="007D46D1" w:rsidRDefault="00A62F09" w:rsidP="00A62F09"/>
    <w:p w:rsidR="00A62F09" w:rsidRDefault="00A62F09" w:rsidP="00A62F09">
      <w:r>
        <w:t>Cook Central saw significant declines in numbers of entries into care, from 774 in 2001 to just 364 in 2010, a decline of 53%.</w:t>
      </w:r>
    </w:p>
    <w:p w:rsidR="00A62F09" w:rsidRDefault="00A62F09" w:rsidP="00A62F09">
      <w:pPr>
        <w:rPr>
          <w:b/>
        </w:rPr>
      </w:pPr>
      <w:r>
        <w:t>The vast majority of children entering care are African American</w:t>
      </w:r>
      <w:r w:rsidRPr="007D46D1">
        <w:rPr>
          <w:b/>
        </w:rPr>
        <w:t>.  Declines in African American entries were dramatic, fro</w:t>
      </w:r>
      <w:r>
        <w:rPr>
          <w:b/>
        </w:rPr>
        <w:t>m 593</w:t>
      </w:r>
      <w:r w:rsidRPr="007D46D1">
        <w:rPr>
          <w:b/>
        </w:rPr>
        <w:t xml:space="preserve"> in 2001 to</w:t>
      </w:r>
      <w:r>
        <w:rPr>
          <w:b/>
        </w:rPr>
        <w:t xml:space="preserve"> 226 in 2010, a reduction of 62</w:t>
      </w:r>
      <w:r w:rsidRPr="007D46D1">
        <w:rPr>
          <w:b/>
        </w:rPr>
        <w:t>%.</w:t>
      </w:r>
    </w:p>
    <w:p w:rsidR="00A62F09" w:rsidRDefault="00A62F09" w:rsidP="00A62F09">
      <w:pPr>
        <w:rPr>
          <w:b/>
        </w:rPr>
      </w:pPr>
      <w:r>
        <w:t>Numbers of Hispanic entries also decreased, from 100 to 55, or 45%.</w:t>
      </w:r>
      <w:r>
        <w:rPr>
          <w:b/>
        </w:rPr>
        <w:t xml:space="preserve">  </w:t>
      </w:r>
    </w:p>
    <w:p w:rsidR="00A62F09" w:rsidRDefault="00A62F09" w:rsidP="00A62F09"/>
    <w:p w:rsidR="00A62F09" w:rsidRDefault="00A62F09">
      <w:pPr>
        <w:rPr>
          <w:rFonts w:asciiTheme="majorHAnsi" w:eastAsiaTheme="majorEastAsia" w:hAnsiTheme="majorHAnsi" w:cstheme="majorBidi"/>
          <w:color w:val="3E3636" w:themeColor="text2" w:themeShade="BF"/>
          <w:spacing w:val="5"/>
          <w:kern w:val="28"/>
          <w:sz w:val="52"/>
          <w:szCs w:val="52"/>
        </w:rPr>
      </w:pPr>
      <w:r>
        <w:br w:type="page"/>
      </w:r>
    </w:p>
    <w:p w:rsidR="006D6A10" w:rsidRDefault="006D6A10" w:rsidP="006D6A10">
      <w:pPr>
        <w:pStyle w:val="Title"/>
      </w:pPr>
      <w:r>
        <w:lastRenderedPageBreak/>
        <w:t>Disproportionality and Disparity in Central Region</w:t>
      </w:r>
    </w:p>
    <w:p w:rsidR="00D34E56" w:rsidRPr="00D34E56" w:rsidRDefault="00D34E56" w:rsidP="00D34E56">
      <w:pPr>
        <w:keepNext/>
        <w:framePr w:dropCap="drop" w:lines="3" w:wrap="around" w:vAnchor="text" w:hAnchor="text"/>
        <w:spacing w:after="0" w:line="926" w:lineRule="exact"/>
        <w:textAlignment w:val="baseline"/>
        <w:rPr>
          <w:rFonts w:cstheme="minorHAnsi"/>
          <w:position w:val="-8"/>
          <w:sz w:val="122"/>
        </w:rPr>
      </w:pPr>
      <w:r w:rsidRPr="00D34E56">
        <w:rPr>
          <w:rFonts w:cstheme="minorHAnsi"/>
          <w:position w:val="-8"/>
          <w:sz w:val="122"/>
        </w:rPr>
        <w:t>A</w:t>
      </w:r>
    </w:p>
    <w:p w:rsidR="006D6A10" w:rsidRDefault="006D6A10">
      <w:r>
        <w:t>s the Permanency Enhancement Project (PEP) has evolved in Central Region, we have moved from a fairly simplistic to a more nuanced consideration of racial/ethnic over-representation.  Initially we looked at percentages of children by racial/ethnic group in the population of the region or in indiv</w:t>
      </w:r>
      <w:r w:rsidR="00D34E56">
        <w:t xml:space="preserve">idual counties and compared these to the percentage of youth in care and leaving care.  This </w:t>
      </w:r>
      <w:r w:rsidR="002E5BDD">
        <w:t xml:space="preserve">year we </w:t>
      </w:r>
      <w:r w:rsidR="00233218">
        <w:t>examined disproportionality and</w:t>
      </w:r>
      <w:r w:rsidR="002E5BDD">
        <w:t xml:space="preserve"> disparity across </w:t>
      </w:r>
      <w:r w:rsidR="00C027C6">
        <w:t>several points</w:t>
      </w:r>
      <w:r w:rsidR="002E5BDD">
        <w:t>:</w:t>
      </w:r>
    </w:p>
    <w:p w:rsidR="002E5BDD" w:rsidRDefault="002E5BDD" w:rsidP="002E5BDD">
      <w:pPr>
        <w:pStyle w:val="ListParagraph"/>
        <w:numPr>
          <w:ilvl w:val="0"/>
          <w:numId w:val="1"/>
        </w:numPr>
      </w:pPr>
      <w:r>
        <w:t>Reports</w:t>
      </w:r>
    </w:p>
    <w:p w:rsidR="002E5BDD" w:rsidRDefault="002E5BDD" w:rsidP="002E5BDD">
      <w:pPr>
        <w:pStyle w:val="ListParagraph"/>
        <w:numPr>
          <w:ilvl w:val="0"/>
          <w:numId w:val="1"/>
        </w:numPr>
      </w:pPr>
      <w:r>
        <w:t>Indications</w:t>
      </w:r>
    </w:p>
    <w:p w:rsidR="002E5BDD" w:rsidRDefault="002E5BDD" w:rsidP="002E5BDD">
      <w:pPr>
        <w:pStyle w:val="ListParagraph"/>
        <w:numPr>
          <w:ilvl w:val="0"/>
          <w:numId w:val="1"/>
        </w:numPr>
      </w:pPr>
      <w:r>
        <w:t>Entries into care</w:t>
      </w:r>
    </w:p>
    <w:p w:rsidR="002E5BDD" w:rsidRDefault="005F77FC" w:rsidP="002E5BDD">
      <w:pPr>
        <w:pStyle w:val="ListParagraph"/>
        <w:numPr>
          <w:ilvl w:val="0"/>
          <w:numId w:val="1"/>
        </w:numPr>
      </w:pPr>
      <w:r>
        <w:t>Children/y</w:t>
      </w:r>
      <w:r w:rsidR="002E5BDD">
        <w:t xml:space="preserve">outh in care </w:t>
      </w:r>
    </w:p>
    <w:p w:rsidR="00704782" w:rsidRDefault="002E5BDD" w:rsidP="002E5BDD">
      <w:r>
        <w:t xml:space="preserve">The first three were examined over </w:t>
      </w:r>
      <w:r w:rsidR="00741447">
        <w:t>the course of a year, the fourth</w:t>
      </w:r>
      <w:r>
        <w:t xml:space="preserve"> at a single point in time – the last day of the fiscal year in 2010</w:t>
      </w:r>
      <w:r w:rsidR="00FE10EC">
        <w:t>.</w:t>
      </w:r>
    </w:p>
    <w:p w:rsidR="002E5BDD" w:rsidRDefault="002E5BDD">
      <w:r>
        <w:t xml:space="preserve">Most of the counties in Central Region are rural, and their populations are overwhelming </w:t>
      </w:r>
      <w:r w:rsidR="005F77FC">
        <w:t xml:space="preserve">non-Hispanic </w:t>
      </w:r>
      <w:r w:rsidR="005655EA">
        <w:t>and W</w:t>
      </w:r>
      <w:r>
        <w:t>hite.  In this report we examine the 7 large population counties where racial (and to a much lesser extent) ethnic diversity exists. These are Champaign, Macon, McLean, Peoria, Rock Island, Sangamon and Vermilion Counties.</w:t>
      </w:r>
    </w:p>
    <w:p w:rsidR="00741447" w:rsidRDefault="002E5BDD">
      <w:r>
        <w:t xml:space="preserve"> </w:t>
      </w:r>
      <w:r w:rsidR="006D5BF3">
        <w:t>The data represented on the following graphs examine overrepresentation of African American chil</w:t>
      </w:r>
      <w:r w:rsidR="005655EA">
        <w:t>dren in two ways</w:t>
      </w:r>
      <w:r w:rsidR="00225464">
        <w:t xml:space="preserve">: </w:t>
      </w:r>
      <w:r w:rsidR="005655EA">
        <w:t xml:space="preserve"> through bar graphs and through a single number representing the degree of disparity. </w:t>
      </w:r>
      <w:r w:rsidR="00741447">
        <w:t xml:space="preserve"> The graphs provide a visual representation of disparity differences, something our action teams found to be more helpful in interpreting the data.</w:t>
      </w:r>
    </w:p>
    <w:p w:rsidR="005655EA" w:rsidRDefault="00F2123C">
      <w:r>
        <w:t>The s</w:t>
      </w:r>
      <w:r w:rsidR="00CC3D72">
        <w:t xml:space="preserve">econd </w:t>
      </w:r>
      <w:r>
        <w:t xml:space="preserve">way of examining the data is through </w:t>
      </w:r>
      <w:r w:rsidRPr="00F2123C">
        <w:rPr>
          <w:b/>
        </w:rPr>
        <w:t>the disparity ratio</w:t>
      </w:r>
      <w:r>
        <w:t>.  There are several ways to reflect differences through ratios (e.g. racial disproportionality ratios, risk ratios, weighted risk ratios).  The measure selected compares African American to White children – the largest minority group to the dominant group.</w:t>
      </w:r>
      <w:r w:rsidR="00430CFA">
        <w:t xml:space="preserve"> </w:t>
      </w:r>
      <w:r>
        <w:t>If the resulting number is 1</w:t>
      </w:r>
      <w:r w:rsidR="00430CFA">
        <w:t>or close to 1</w:t>
      </w:r>
      <w:r>
        <w:t xml:space="preserve"> there is no </w:t>
      </w:r>
      <w:r w:rsidR="00FE10EC">
        <w:t xml:space="preserve">disparity. </w:t>
      </w:r>
      <w:r w:rsidR="005655EA">
        <w:t xml:space="preserve"> A number of 1.5 would mean that African American children were 50% more likely than White children to be reported, 2.0 would mean that they are twice as likely and so on.</w:t>
      </w:r>
      <w:r>
        <w:t xml:space="preserve">  </w:t>
      </w:r>
    </w:p>
    <w:p w:rsidR="00CC3D72" w:rsidRDefault="00225464">
      <w:r>
        <w:t>While there is as of yet no clear standard</w:t>
      </w:r>
      <w:r w:rsidR="00F2123C" w:rsidRPr="00A649E7">
        <w:t xml:space="preserve"> on what constitutes serious disparity using this ratio, for our purposes we consider</w:t>
      </w:r>
      <w:r w:rsidR="005655EA" w:rsidRPr="00A649E7">
        <w:t xml:space="preserve"> 1.5 to</w:t>
      </w:r>
      <w:r w:rsidR="00482471" w:rsidRPr="00A649E7">
        <w:t xml:space="preserve"> 2.49</w:t>
      </w:r>
      <w:r w:rsidR="005655EA" w:rsidRPr="00A649E7">
        <w:t xml:space="preserve"> to be moderate</w:t>
      </w:r>
      <w:r w:rsidR="00482471" w:rsidRPr="00A649E7">
        <w:t xml:space="preserve"> disparity, 2.5</w:t>
      </w:r>
      <w:r w:rsidR="00F2123C" w:rsidRPr="00A649E7">
        <w:t xml:space="preserve"> </w:t>
      </w:r>
      <w:r w:rsidR="00FE10EC">
        <w:t>to</w:t>
      </w:r>
      <w:r w:rsidR="00482471" w:rsidRPr="00A649E7">
        <w:t xml:space="preserve"> 3.49</w:t>
      </w:r>
      <w:r w:rsidR="00F2123C" w:rsidRPr="00A649E7">
        <w:t>. to</w:t>
      </w:r>
      <w:r w:rsidR="005655EA" w:rsidRPr="00A649E7">
        <w:t xml:space="preserve"> </w:t>
      </w:r>
      <w:r w:rsidR="00482471" w:rsidRPr="00A649E7">
        <w:t>be high</w:t>
      </w:r>
      <w:r w:rsidR="00F2123C" w:rsidRPr="00A649E7">
        <w:t xml:space="preserve"> disparity,</w:t>
      </w:r>
      <w:r w:rsidR="00482471" w:rsidRPr="00A649E7">
        <w:t xml:space="preserve"> and 3.5 and above to be extreme </w:t>
      </w:r>
      <w:r w:rsidR="005655EA" w:rsidRPr="00A649E7">
        <w:t xml:space="preserve"> disparity.</w:t>
      </w:r>
      <w:r w:rsidR="005655EA">
        <w:t xml:space="preserve">  </w:t>
      </w:r>
      <w:r w:rsidR="00F2123C">
        <w:t xml:space="preserve"> </w:t>
      </w:r>
    </w:p>
    <w:p w:rsidR="00430CFA" w:rsidRDefault="00430CFA" w:rsidP="00FF64F2">
      <w:pPr>
        <w:pStyle w:val="Heading1"/>
      </w:pPr>
    </w:p>
    <w:p w:rsidR="00FF64F2" w:rsidRDefault="00FF64F2" w:rsidP="00FF64F2">
      <w:pPr>
        <w:pStyle w:val="Heading1"/>
      </w:pPr>
      <w:r>
        <w:t>Decision Point One:  Accepted Reports</w:t>
      </w:r>
    </w:p>
    <w:p w:rsidR="00FF64F2" w:rsidRDefault="00FF64F2" w:rsidP="00FF64F2"/>
    <w:p w:rsidR="00741447" w:rsidRPr="00FF64F2" w:rsidRDefault="00741447" w:rsidP="00FF64F2"/>
    <w:p w:rsidR="00FF64F2" w:rsidRDefault="00AD0FE1" w:rsidP="00FF64F2">
      <w:r>
        <w:rPr>
          <w:noProof/>
        </w:rPr>
        <mc:AlternateContent>
          <mc:Choice Requires="wps">
            <w:drawing>
              <wp:anchor distT="0" distB="0" distL="114300" distR="114300" simplePos="0" relativeHeight="251661312" behindDoc="0" locked="0" layoutInCell="1" allowOverlap="1">
                <wp:simplePos x="0" y="0"/>
                <wp:positionH relativeFrom="column">
                  <wp:posOffset>768985</wp:posOffset>
                </wp:positionH>
                <wp:positionV relativeFrom="paragraph">
                  <wp:posOffset>2286635</wp:posOffset>
                </wp:positionV>
                <wp:extent cx="5174615" cy="272415"/>
                <wp:effectExtent l="0" t="2540" r="0" b="127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461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4F2" w:rsidRPr="00421DD2" w:rsidRDefault="00FF64F2" w:rsidP="00FF64F2">
                            <w:r w:rsidRPr="00421DD2">
                              <w:t>3.23               1.92               2.74              2.13               2.63                2.69              1.71</w:t>
                            </w:r>
                          </w:p>
                          <w:p w:rsidR="00FF64F2" w:rsidRDefault="00FF64F2" w:rsidP="00FF64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55pt;margin-top:180.05pt;width:407.45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7atA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" filled="f" stroked="f">
                <v:textbox>
                  <w:txbxContent>
                    <w:p w:rsidR="00FF64F2" w:rsidRPr="00421DD2" w:rsidRDefault="00FF64F2" w:rsidP="00FF64F2">
                      <w:r w:rsidRPr="00421DD2">
                        <w:t>3.23               1.92               2.74              2.13               2.63                2.69              1.71</w:t>
                      </w:r>
                    </w:p>
                    <w:p w:rsidR="00FF64F2" w:rsidRDefault="00FF64F2" w:rsidP="00FF64F2"/>
                  </w:txbxContent>
                </v:textbox>
              </v:shape>
            </w:pict>
          </mc:Fallback>
        </mc:AlternateContent>
      </w:r>
      <w:r w:rsidR="00FF64F2" w:rsidRPr="00421DD2">
        <w:rPr>
          <w:noProof/>
        </w:rPr>
        <w:drawing>
          <wp:inline distT="0" distB="0" distL="0" distR="0">
            <wp:extent cx="5943600" cy="4114800"/>
            <wp:effectExtent l="19050" t="0" r="1905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30CFA" w:rsidRDefault="00430CFA" w:rsidP="00430CFA">
      <w:r>
        <w:t>*Disp</w:t>
      </w:r>
      <w:r w:rsidR="00972514">
        <w:t>arity ratio on this variable = number</w:t>
      </w:r>
      <w:r>
        <w:t xml:space="preserve"> of African American children reported divided by number of African American children in population over number of White children reported divided by number of White children in the population.</w:t>
      </w:r>
    </w:p>
    <w:p w:rsidR="00FF64F2" w:rsidRDefault="00FF64F2" w:rsidP="00FF64F2"/>
    <w:p w:rsidR="00FF64F2" w:rsidRDefault="00FF64F2" w:rsidP="00FF64F2">
      <w:r>
        <w:t xml:space="preserve">In each of the counties, African American children were much more likely to be reported than White </w:t>
      </w:r>
      <w:r w:rsidRPr="00741447">
        <w:t xml:space="preserve">children.  For example, in Champaign County </w:t>
      </w:r>
      <w:r w:rsidR="00704782">
        <w:t>African American children were over three times more likely to be reported than were white children</w:t>
      </w:r>
    </w:p>
    <w:p w:rsidR="00FF64F2" w:rsidRDefault="00FF64F2" w:rsidP="00FF64F2">
      <w:r>
        <w:t>The degree of risk varied over the counties, with African American children in Macon,  Vermilion and Peoria counties having moderate risk, and Rock Island, Sangamon and Champaign county having high risk to be reported.</w:t>
      </w:r>
    </w:p>
    <w:p w:rsidR="00FF64F2" w:rsidRDefault="00FF64F2" w:rsidP="00FF64F2"/>
    <w:p w:rsidR="00FF64F2" w:rsidRDefault="00FF64F2" w:rsidP="00FF64F2">
      <w:pPr>
        <w:pStyle w:val="Heading1"/>
      </w:pPr>
      <w:r>
        <w:t>Decision Point Two:  Indicated Reports</w:t>
      </w:r>
    </w:p>
    <w:p w:rsidR="00FF64F2" w:rsidRDefault="00FF64F2" w:rsidP="00FF64F2"/>
    <w:p w:rsidR="00FF64F2" w:rsidRDefault="00FF64F2" w:rsidP="00FF64F2"/>
    <w:p w:rsidR="00FF64F2" w:rsidRDefault="00AD0FE1" w:rsidP="00FF64F2">
      <w:r>
        <w:rPr>
          <w:noProof/>
        </w:rPr>
        <mc:AlternateContent>
          <mc:Choice Requires="wps">
            <w:drawing>
              <wp:anchor distT="0" distB="0" distL="114300" distR="114300" simplePos="0" relativeHeight="251662336" behindDoc="0" locked="0" layoutInCell="1" allowOverlap="1">
                <wp:simplePos x="0" y="0"/>
                <wp:positionH relativeFrom="column">
                  <wp:posOffset>737870</wp:posOffset>
                </wp:positionH>
                <wp:positionV relativeFrom="paragraph">
                  <wp:posOffset>790575</wp:posOffset>
                </wp:positionV>
                <wp:extent cx="5038725" cy="330200"/>
                <wp:effectExtent l="4445"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4F2" w:rsidRPr="00B67E88" w:rsidRDefault="00FF64F2" w:rsidP="00FF64F2">
                            <w:r w:rsidRPr="00B67E88">
                              <w:t xml:space="preserve">  1.40                1.02              1.23               1.25              1.32               1.13              1.12 </w:t>
                            </w:r>
                          </w:p>
                          <w:p w:rsidR="00FF64F2" w:rsidRDefault="00FF64F2" w:rsidP="00FF64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8.1pt;margin-top:62.25pt;width:396.75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ortwIAAME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" filled="f" stroked="f">
                <v:textbox>
                  <w:txbxContent>
                    <w:p w:rsidR="00FF64F2" w:rsidRPr="00B67E88" w:rsidRDefault="00FF64F2" w:rsidP="00FF64F2">
                      <w:r w:rsidRPr="00B67E88">
                        <w:t xml:space="preserve">  1.40                1.02              1.23               1.25              1.32               1.13              1.12 </w:t>
                      </w:r>
                    </w:p>
                    <w:p w:rsidR="00FF64F2" w:rsidRDefault="00FF64F2" w:rsidP="00FF64F2"/>
                  </w:txbxContent>
                </v:textbox>
              </v:shape>
            </w:pict>
          </mc:Fallback>
        </mc:AlternateContent>
      </w:r>
      <w:r w:rsidR="00FF64F2" w:rsidRPr="0052529E">
        <w:rPr>
          <w:noProof/>
        </w:rPr>
        <w:drawing>
          <wp:inline distT="0" distB="0" distL="0" distR="0">
            <wp:extent cx="5943600" cy="41148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72514" w:rsidRDefault="00972514" w:rsidP="00972514">
      <w:r>
        <w:t>*Disparity ratio on this variable = (number of African American children indicated divided by number of African American children reported) over</w:t>
      </w:r>
      <w:r w:rsidR="000F7FB7">
        <w:t xml:space="preserve"> (</w:t>
      </w:r>
      <w:r>
        <w:t>number of White children indicated divided by number of White children reported).</w:t>
      </w:r>
    </w:p>
    <w:p w:rsidR="00FF64F2" w:rsidRDefault="00FF64F2" w:rsidP="00FF64F2"/>
    <w:p w:rsidR="00FF64F2" w:rsidRDefault="00FF64F2" w:rsidP="00FF64F2">
      <w:r>
        <w:t>At the indication level there is much less difference than at the reporting level.  In Macon County there is almost no difference for African American and White children and there is very low risk in Sangamon and Ver</w:t>
      </w:r>
      <w:r w:rsidR="00336E47">
        <w:t>milion Counties.  Even in Champaign County, where the risk is highest, it does not reach the “moderate” level.</w:t>
      </w:r>
    </w:p>
    <w:p w:rsidR="00FF64F2" w:rsidRDefault="00FF64F2" w:rsidP="00FF64F2"/>
    <w:p w:rsidR="00FF64F2" w:rsidRDefault="00FF64F2" w:rsidP="00FF64F2"/>
    <w:p w:rsidR="00FF64F2" w:rsidRDefault="00FF64F2" w:rsidP="00FF64F2"/>
    <w:p w:rsidR="00336E47" w:rsidRDefault="00336E47" w:rsidP="00336E47">
      <w:pPr>
        <w:pStyle w:val="Heading1"/>
      </w:pPr>
      <w:r>
        <w:t>Decision Point Three:  Entry into Care</w:t>
      </w:r>
    </w:p>
    <w:p w:rsidR="00FF64F2" w:rsidRDefault="00FF64F2" w:rsidP="00FF64F2"/>
    <w:p w:rsidR="00FF64F2" w:rsidRDefault="00FF64F2" w:rsidP="00FF64F2"/>
    <w:p w:rsidR="00FF64F2" w:rsidRDefault="00FF64F2" w:rsidP="00FF64F2"/>
    <w:p w:rsidR="00FF64F2" w:rsidRDefault="00AD0FE1" w:rsidP="00FF64F2">
      <w:r>
        <w:rPr>
          <w:noProof/>
        </w:rPr>
        <mc:AlternateContent>
          <mc:Choice Requires="wps">
            <w:drawing>
              <wp:anchor distT="0" distB="0" distL="114300" distR="114300" simplePos="0" relativeHeight="251663360" behindDoc="0" locked="0" layoutInCell="1" allowOverlap="1">
                <wp:simplePos x="0" y="0"/>
                <wp:positionH relativeFrom="column">
                  <wp:posOffset>706755</wp:posOffset>
                </wp:positionH>
                <wp:positionV relativeFrom="paragraph">
                  <wp:posOffset>991870</wp:posOffset>
                </wp:positionV>
                <wp:extent cx="4911090" cy="303530"/>
                <wp:effectExtent l="1905" t="0" r="1905" b="444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09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4F2" w:rsidRPr="00B67E88" w:rsidRDefault="00FF64F2" w:rsidP="00FF64F2">
                            <w:r w:rsidRPr="00B67E88">
                              <w:t xml:space="preserve">  1.04                 1.28            1.54                1.64              1.34              2.35                3.02</w:t>
                            </w:r>
                          </w:p>
                          <w:p w:rsidR="00FF64F2" w:rsidRDefault="00FF64F2" w:rsidP="00FF64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55.65pt;margin-top:78.1pt;width:386.7pt;height:2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iVug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" filled="f" stroked="f">
                <v:textbox>
                  <w:txbxContent>
                    <w:p w:rsidR="00FF64F2" w:rsidRPr="00B67E88" w:rsidRDefault="00FF64F2" w:rsidP="00FF64F2">
                      <w:r w:rsidRPr="00B67E88">
                        <w:t xml:space="preserve">  1.04                 1.28            1.54                1.64              1.34              2.35                3.02</w:t>
                      </w:r>
                    </w:p>
                    <w:p w:rsidR="00FF64F2" w:rsidRDefault="00FF64F2" w:rsidP="00FF64F2"/>
                  </w:txbxContent>
                </v:textbox>
              </v:shape>
            </w:pict>
          </mc:Fallback>
        </mc:AlternateContent>
      </w:r>
      <w:r w:rsidR="00FF64F2" w:rsidRPr="0052529E">
        <w:rPr>
          <w:noProof/>
        </w:rPr>
        <w:drawing>
          <wp:inline distT="0" distB="0" distL="0" distR="0">
            <wp:extent cx="5943600" cy="41148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72514" w:rsidRDefault="00972514" w:rsidP="00972514">
      <w:r>
        <w:t>*Disparity ratio on this variable = (number of African American children entering care divided by number of African American children indicated) over( number of White children entering care divided by number of White children indicated).</w:t>
      </w:r>
    </w:p>
    <w:p w:rsidR="00FF64F2" w:rsidRDefault="00FF64F2" w:rsidP="00FF64F2"/>
    <w:p w:rsidR="00FF64F2" w:rsidRDefault="00336E47" w:rsidP="00FF64F2">
      <w:r>
        <w:t>Once again, there are clear differences across counties when it comes to risk of being removed from home and placed into care.  In Champaign County African American and White children have nearly identical risk to be placed once indicated.  Risk is also low in Macon, Rock Island, McLean and Peoria counties.  In Sangamon, where the ratio</w:t>
      </w:r>
      <w:r w:rsidR="00704782">
        <w:t xml:space="preserve"> is 2.35, risk is moderate.  However in Vermilion County the risk for African American children as compared to White children to be removed and placed in care is high.</w:t>
      </w:r>
      <w:r>
        <w:t xml:space="preserve"> </w:t>
      </w:r>
    </w:p>
    <w:p w:rsidR="00FF64F2" w:rsidRDefault="00FF64F2" w:rsidP="00FF64F2"/>
    <w:p w:rsidR="00704782" w:rsidRDefault="00704782" w:rsidP="00704782">
      <w:pPr>
        <w:pStyle w:val="Heading1"/>
      </w:pPr>
      <w:r>
        <w:t>Children and Youth in Care</w:t>
      </w:r>
    </w:p>
    <w:p w:rsidR="00FF64F2" w:rsidRDefault="00FF64F2" w:rsidP="00FF64F2"/>
    <w:p w:rsidR="00704782" w:rsidRDefault="00704782" w:rsidP="00FF64F2"/>
    <w:p w:rsidR="00FF64F2" w:rsidRDefault="00AD0FE1" w:rsidP="00FF64F2">
      <w:r>
        <w:rPr>
          <w:noProof/>
        </w:rPr>
        <mc:AlternateContent>
          <mc:Choice Requires="wps">
            <w:drawing>
              <wp:anchor distT="0" distB="0" distL="114300" distR="114300" simplePos="0" relativeHeight="251658240" behindDoc="0" locked="0" layoutInCell="1" allowOverlap="1">
                <wp:simplePos x="0" y="0"/>
                <wp:positionH relativeFrom="column">
                  <wp:posOffset>1031875</wp:posOffset>
                </wp:positionH>
                <wp:positionV relativeFrom="paragraph">
                  <wp:posOffset>2849245</wp:posOffset>
                </wp:positionV>
                <wp:extent cx="4845050" cy="294640"/>
                <wp:effectExtent l="3175"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4F2" w:rsidRDefault="00FF64F2" w:rsidP="00FF64F2">
                            <w:r>
                              <w:t>5.40              2.57               5.44             3.95               4.66                6.00               4.44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81.25pt;margin-top:224.35pt;width:381.5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yo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" filled="f" stroked="f">
                <v:textbox>
                  <w:txbxContent>
                    <w:p w:rsidR="00FF64F2" w:rsidRDefault="00FF64F2" w:rsidP="00FF64F2">
                      <w:r>
                        <w:t>5.40              2.57               5.44             3.95               4.66                6.00               4.44</w:t>
                      </w:r>
                    </w:p>
                  </w:txbxContent>
                </v:textbox>
              </v:shape>
            </w:pict>
          </mc:Fallback>
        </mc:AlternateContent>
      </w:r>
      <w:r w:rsidR="00FF64F2" w:rsidRPr="0052529E">
        <w:rPr>
          <w:noProof/>
        </w:rPr>
        <w:drawing>
          <wp:inline distT="0" distB="0" distL="0" distR="0">
            <wp:extent cx="5943600" cy="4114800"/>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72514" w:rsidRDefault="00972514" w:rsidP="00972514">
      <w:r>
        <w:t>*Disparity ratio on this variable =( number of African American children in care on June 30, 2010 divided by number of African American children in population) over (number of White children in care on June 30, 2010 divided by number of White children in the population).</w:t>
      </w:r>
    </w:p>
    <w:p w:rsidR="00704782" w:rsidRDefault="00704782" w:rsidP="00FF64F2"/>
    <w:p w:rsidR="00704782" w:rsidRDefault="00704782" w:rsidP="00FF64F2">
      <w:r>
        <w:t>Here we examine the percent of the child population by race which is in care</w:t>
      </w:r>
      <w:r w:rsidR="000659D9">
        <w:t xml:space="preserve"> as of June 30, 2010</w:t>
      </w:r>
      <w:r>
        <w:t>.  While previous graphs illustrate risk for a single year, this graph</w:t>
      </w:r>
      <w:r w:rsidR="00972514">
        <w:t xml:space="preserve"> represents what we call cumulative disparity. Children may have been in care for one day or five years.  This way of looking at the data </w:t>
      </w:r>
      <w:r w:rsidR="000659D9">
        <w:t>demonstrates that while there was</w:t>
      </w:r>
      <w:r w:rsidR="00972514">
        <w:t xml:space="preserve"> less disparity at certain points acro</w:t>
      </w:r>
      <w:r w:rsidR="000659D9">
        <w:t>ss decision points in FY 10, African American children carry the legacy of overrepresentation.</w:t>
      </w:r>
    </w:p>
    <w:p w:rsidR="00A64B1B" w:rsidRDefault="000659D9">
      <w:r>
        <w:t xml:space="preserve">By this reckoning, </w:t>
      </w:r>
      <w:r w:rsidR="00D36330">
        <w:t>African American children are at much greater risk to be in care than are white children and in most counties this risk is extreme.</w:t>
      </w:r>
      <w:r w:rsidR="00A64B1B">
        <w:br w:type="page"/>
      </w:r>
    </w:p>
    <w:p w:rsidR="00A64B1B" w:rsidRDefault="00A64B1B" w:rsidP="00A64B1B">
      <w:pPr>
        <w:pStyle w:val="Heading1"/>
      </w:pPr>
      <w:r>
        <w:lastRenderedPageBreak/>
        <w:t>Child Population vs. Foster Care Population by Race</w:t>
      </w:r>
    </w:p>
    <w:p w:rsidR="00A64B1B" w:rsidRDefault="00A64B1B" w:rsidP="00A64B1B"/>
    <w:p w:rsidR="00A64B1B" w:rsidRDefault="00A64B1B" w:rsidP="00AD0FE1">
      <w:pPr>
        <w:jc w:val="center"/>
      </w:pPr>
      <w:r w:rsidRPr="001E2332">
        <w:rPr>
          <w:noProof/>
        </w:rPr>
        <w:drawing>
          <wp:inline distT="0" distB="0" distL="0" distR="0">
            <wp:extent cx="4572000" cy="56959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64B1B" w:rsidRDefault="00A64B1B" w:rsidP="00A64B1B">
      <w:r>
        <w:t xml:space="preserve">This </w:t>
      </w:r>
      <w:r w:rsidR="00A62F09">
        <w:t xml:space="preserve">graph illustrates disparity in another way.  Unlike the last graph, which shows the risk for a child of a given race to be in care, this graph </w:t>
      </w:r>
      <w:r w:rsidR="008C756D">
        <w:t xml:space="preserve">shows </w:t>
      </w:r>
      <w:r w:rsidR="00A62F09">
        <w:t>the percent of children in a given county</w:t>
      </w:r>
      <w:r w:rsidR="008C756D">
        <w:t xml:space="preserve"> who</w:t>
      </w:r>
      <w:r w:rsidR="00A62F09">
        <w:t xml:space="preserve"> are</w:t>
      </w:r>
      <w:r>
        <w:t xml:space="preserve"> A</w:t>
      </w:r>
      <w:r w:rsidR="00A62F09">
        <w:t xml:space="preserve">frican </w:t>
      </w:r>
      <w:r>
        <w:t>A</w:t>
      </w:r>
      <w:r w:rsidR="00A62F09">
        <w:t>merican or White and compares</w:t>
      </w:r>
      <w:r w:rsidR="00741447">
        <w:t xml:space="preserve"> this to the</w:t>
      </w:r>
      <w:r w:rsidR="000659D9">
        <w:t xml:space="preserve"> percent of</w:t>
      </w:r>
      <w:r>
        <w:t xml:space="preserve"> </w:t>
      </w:r>
      <w:r w:rsidR="00A62F09">
        <w:t xml:space="preserve">the children </w:t>
      </w:r>
      <w:r w:rsidR="00A62F09">
        <w:rPr>
          <w:u w:val="single"/>
        </w:rPr>
        <w:t>in care</w:t>
      </w:r>
      <w:r w:rsidR="00741447">
        <w:t xml:space="preserve"> who</w:t>
      </w:r>
      <w:r w:rsidR="00A62F09">
        <w:t xml:space="preserve"> are </w:t>
      </w:r>
      <w:r>
        <w:t>African American</w:t>
      </w:r>
      <w:r w:rsidR="00A62F09">
        <w:t xml:space="preserve"> or White</w:t>
      </w:r>
      <w:r>
        <w:t>.</w:t>
      </w:r>
      <w:r w:rsidR="00A62F09">
        <w:t xml:space="preserve">  </w:t>
      </w:r>
    </w:p>
    <w:p w:rsidR="00741447" w:rsidRDefault="00A64B1B" w:rsidP="00FF64F2">
      <w:r>
        <w:t>E.g</w:t>
      </w:r>
      <w:r w:rsidR="00A62F09">
        <w:t>.</w:t>
      </w:r>
      <w:r>
        <w:t xml:space="preserve">  15% of the child population in Vermilion county is A</w:t>
      </w:r>
      <w:r w:rsidR="00A62F09">
        <w:t xml:space="preserve">frican </w:t>
      </w:r>
      <w:r>
        <w:t>A</w:t>
      </w:r>
      <w:r w:rsidR="00A62F09">
        <w:t>merican</w:t>
      </w:r>
      <w:r>
        <w:t>, compared to 48%</w:t>
      </w:r>
      <w:r w:rsidR="00A62F09">
        <w:t xml:space="preserve"> of the in care population.  </w:t>
      </w:r>
      <w:r w:rsidR="000659D9">
        <w:t xml:space="preserve"> White children</w:t>
      </w:r>
      <w:r>
        <w:t xml:space="preserve"> </w:t>
      </w:r>
      <w:r w:rsidR="00A62F09">
        <w:t>are 73% of the</w:t>
      </w:r>
      <w:r>
        <w:t xml:space="preserve"> child pop</w:t>
      </w:r>
      <w:r w:rsidR="00A62F09">
        <w:t>ulation</w:t>
      </w:r>
      <w:r>
        <w:t xml:space="preserve"> but only 51% of </w:t>
      </w:r>
      <w:r w:rsidR="00A62F09">
        <w:t>the in care population.</w:t>
      </w:r>
    </w:p>
    <w:p w:rsidR="00741447" w:rsidRDefault="00741447"/>
    <w:p w:rsidR="00D36330" w:rsidRDefault="00B135F2" w:rsidP="00B135F2">
      <w:pPr>
        <w:pStyle w:val="Heading2"/>
      </w:pPr>
      <w:r>
        <w:lastRenderedPageBreak/>
        <w:t>Summary</w:t>
      </w:r>
    </w:p>
    <w:p w:rsidR="00B135F2" w:rsidRDefault="00B135F2" w:rsidP="00B135F2"/>
    <w:p w:rsidR="00B135F2" w:rsidRDefault="00B135F2" w:rsidP="00B135F2">
      <w:r>
        <w:t>Counties vary dramatically in the extent to which African American children are over-represented.  Below we summarize decision points and outcomes to illustrate the difference and identify the areas in which counties have the most difficulty.</w:t>
      </w:r>
    </w:p>
    <w:p w:rsidR="00B135F2" w:rsidRDefault="00B135F2" w:rsidP="00B135F2">
      <w:pPr>
        <w:jc w:val="center"/>
        <w:rPr>
          <w:b/>
          <w:sz w:val="28"/>
          <w:szCs w:val="28"/>
        </w:rPr>
      </w:pPr>
      <w:r w:rsidRPr="00B135F2">
        <w:rPr>
          <w:b/>
          <w:sz w:val="28"/>
          <w:szCs w:val="28"/>
        </w:rPr>
        <w:t>Disparity Ratios by County and Decision Point/ Outcome</w:t>
      </w:r>
    </w:p>
    <w:p w:rsidR="00B135F2" w:rsidRPr="00B135F2" w:rsidRDefault="00B135F2" w:rsidP="00B135F2">
      <w:pPr>
        <w:jc w:val="center"/>
        <w:rPr>
          <w:b/>
          <w:sz w:val="28"/>
          <w:szCs w:val="28"/>
        </w:rPr>
      </w:pPr>
    </w:p>
    <w:tbl>
      <w:tblPr>
        <w:tblStyle w:val="TableGrid"/>
        <w:tblW w:w="0" w:type="auto"/>
        <w:tblLook w:val="04A0" w:firstRow="1" w:lastRow="0" w:firstColumn="1" w:lastColumn="0" w:noHBand="0" w:noVBand="1"/>
      </w:tblPr>
      <w:tblGrid>
        <w:gridCol w:w="1915"/>
        <w:gridCol w:w="1915"/>
        <w:gridCol w:w="1915"/>
        <w:gridCol w:w="1915"/>
        <w:gridCol w:w="1916"/>
      </w:tblGrid>
      <w:tr w:rsidR="00B135F2" w:rsidTr="00B135F2">
        <w:tc>
          <w:tcPr>
            <w:tcW w:w="1915" w:type="dxa"/>
          </w:tcPr>
          <w:p w:rsidR="00B135F2" w:rsidRPr="00B135F2" w:rsidRDefault="00B135F2" w:rsidP="00B135F2">
            <w:pPr>
              <w:rPr>
                <w:b/>
              </w:rPr>
            </w:pPr>
            <w:r>
              <w:rPr>
                <w:b/>
              </w:rPr>
              <w:t>County</w:t>
            </w:r>
          </w:p>
        </w:tc>
        <w:tc>
          <w:tcPr>
            <w:tcW w:w="1915" w:type="dxa"/>
          </w:tcPr>
          <w:p w:rsidR="00B135F2" w:rsidRPr="00B135F2" w:rsidRDefault="00B135F2" w:rsidP="00B135F2">
            <w:pPr>
              <w:rPr>
                <w:b/>
              </w:rPr>
            </w:pPr>
            <w:r>
              <w:rPr>
                <w:b/>
              </w:rPr>
              <w:t>Reports</w:t>
            </w:r>
          </w:p>
        </w:tc>
        <w:tc>
          <w:tcPr>
            <w:tcW w:w="1915" w:type="dxa"/>
          </w:tcPr>
          <w:p w:rsidR="00B135F2" w:rsidRPr="00B135F2" w:rsidRDefault="00B135F2" w:rsidP="00B135F2">
            <w:pPr>
              <w:rPr>
                <w:b/>
              </w:rPr>
            </w:pPr>
            <w:r>
              <w:rPr>
                <w:b/>
              </w:rPr>
              <w:t>Indications</w:t>
            </w:r>
          </w:p>
        </w:tc>
        <w:tc>
          <w:tcPr>
            <w:tcW w:w="1915" w:type="dxa"/>
          </w:tcPr>
          <w:p w:rsidR="00B135F2" w:rsidRPr="00B135F2" w:rsidRDefault="00B135F2" w:rsidP="00B135F2">
            <w:pPr>
              <w:rPr>
                <w:b/>
              </w:rPr>
            </w:pPr>
            <w:r>
              <w:rPr>
                <w:b/>
              </w:rPr>
              <w:t>Entries</w:t>
            </w:r>
          </w:p>
        </w:tc>
        <w:tc>
          <w:tcPr>
            <w:tcW w:w="1916" w:type="dxa"/>
          </w:tcPr>
          <w:p w:rsidR="00B135F2" w:rsidRDefault="00B135F2" w:rsidP="00B135F2">
            <w:r w:rsidRPr="00B135F2">
              <w:rPr>
                <w:b/>
              </w:rPr>
              <w:t>Percent Population in Care</w:t>
            </w:r>
          </w:p>
        </w:tc>
      </w:tr>
      <w:tr w:rsidR="00B135F2" w:rsidTr="00195795">
        <w:tc>
          <w:tcPr>
            <w:tcW w:w="1915" w:type="dxa"/>
          </w:tcPr>
          <w:p w:rsidR="00B135F2" w:rsidRDefault="00B135F2" w:rsidP="00B135F2">
            <w:r>
              <w:t>Champaign</w:t>
            </w:r>
          </w:p>
        </w:tc>
        <w:tc>
          <w:tcPr>
            <w:tcW w:w="1915" w:type="dxa"/>
            <w:shd w:val="clear" w:color="auto" w:fill="FFC000"/>
          </w:tcPr>
          <w:p w:rsidR="00B135F2" w:rsidRDefault="00B135F2" w:rsidP="00B135F2">
            <w:r>
              <w:t>3.23</w:t>
            </w:r>
          </w:p>
        </w:tc>
        <w:tc>
          <w:tcPr>
            <w:tcW w:w="1915" w:type="dxa"/>
          </w:tcPr>
          <w:p w:rsidR="00B135F2" w:rsidRDefault="00B135F2" w:rsidP="00B135F2">
            <w:r>
              <w:t>1.40</w:t>
            </w:r>
          </w:p>
        </w:tc>
        <w:tc>
          <w:tcPr>
            <w:tcW w:w="1915" w:type="dxa"/>
          </w:tcPr>
          <w:p w:rsidR="00B135F2" w:rsidRDefault="00195795" w:rsidP="00B135F2">
            <w:r>
              <w:t>1.04</w:t>
            </w:r>
          </w:p>
        </w:tc>
        <w:tc>
          <w:tcPr>
            <w:tcW w:w="1916" w:type="dxa"/>
            <w:shd w:val="clear" w:color="auto" w:fill="FF0000"/>
          </w:tcPr>
          <w:p w:rsidR="00B135F2" w:rsidRDefault="00195795" w:rsidP="00B135F2">
            <w:r>
              <w:t>5.40</w:t>
            </w:r>
          </w:p>
        </w:tc>
      </w:tr>
      <w:tr w:rsidR="00B135F2" w:rsidTr="00195795">
        <w:tc>
          <w:tcPr>
            <w:tcW w:w="1915" w:type="dxa"/>
          </w:tcPr>
          <w:p w:rsidR="00B135F2" w:rsidRDefault="00B135F2" w:rsidP="00B135F2">
            <w:r>
              <w:t>Macon</w:t>
            </w:r>
          </w:p>
        </w:tc>
        <w:tc>
          <w:tcPr>
            <w:tcW w:w="1915" w:type="dxa"/>
            <w:shd w:val="clear" w:color="auto" w:fill="FFFF00"/>
          </w:tcPr>
          <w:p w:rsidR="00B135F2" w:rsidRDefault="00B135F2" w:rsidP="00B135F2">
            <w:r>
              <w:t>1.92</w:t>
            </w:r>
          </w:p>
        </w:tc>
        <w:tc>
          <w:tcPr>
            <w:tcW w:w="1915" w:type="dxa"/>
          </w:tcPr>
          <w:p w:rsidR="00B135F2" w:rsidRDefault="00B135F2" w:rsidP="00B135F2">
            <w:r>
              <w:t>1.02</w:t>
            </w:r>
          </w:p>
        </w:tc>
        <w:tc>
          <w:tcPr>
            <w:tcW w:w="1915" w:type="dxa"/>
          </w:tcPr>
          <w:p w:rsidR="00B135F2" w:rsidRDefault="00195795" w:rsidP="00B135F2">
            <w:r>
              <w:t>1.28</w:t>
            </w:r>
          </w:p>
        </w:tc>
        <w:tc>
          <w:tcPr>
            <w:tcW w:w="1916" w:type="dxa"/>
            <w:shd w:val="clear" w:color="auto" w:fill="FFC000"/>
          </w:tcPr>
          <w:p w:rsidR="00B135F2" w:rsidRDefault="00195795" w:rsidP="00B135F2">
            <w:r>
              <w:t>2.57</w:t>
            </w:r>
          </w:p>
        </w:tc>
      </w:tr>
      <w:tr w:rsidR="00B135F2" w:rsidTr="00195795">
        <w:tc>
          <w:tcPr>
            <w:tcW w:w="1915" w:type="dxa"/>
          </w:tcPr>
          <w:p w:rsidR="00B135F2" w:rsidRDefault="00B135F2" w:rsidP="00B135F2">
            <w:r>
              <w:t>McLean</w:t>
            </w:r>
          </w:p>
        </w:tc>
        <w:tc>
          <w:tcPr>
            <w:tcW w:w="1915" w:type="dxa"/>
            <w:shd w:val="clear" w:color="auto" w:fill="FFC000"/>
          </w:tcPr>
          <w:p w:rsidR="00B135F2" w:rsidRDefault="00B135F2" w:rsidP="00B135F2">
            <w:r>
              <w:t>2.74</w:t>
            </w:r>
          </w:p>
        </w:tc>
        <w:tc>
          <w:tcPr>
            <w:tcW w:w="1915" w:type="dxa"/>
          </w:tcPr>
          <w:p w:rsidR="00B135F2" w:rsidRDefault="00B135F2" w:rsidP="00B135F2">
            <w:r>
              <w:t>1.23</w:t>
            </w:r>
          </w:p>
        </w:tc>
        <w:tc>
          <w:tcPr>
            <w:tcW w:w="1915" w:type="dxa"/>
            <w:shd w:val="clear" w:color="auto" w:fill="FFFF00"/>
          </w:tcPr>
          <w:p w:rsidR="00B135F2" w:rsidRDefault="00195795" w:rsidP="00B135F2">
            <w:r>
              <w:t>1.54</w:t>
            </w:r>
          </w:p>
        </w:tc>
        <w:tc>
          <w:tcPr>
            <w:tcW w:w="1916" w:type="dxa"/>
            <w:shd w:val="clear" w:color="auto" w:fill="FF0000"/>
          </w:tcPr>
          <w:p w:rsidR="00B135F2" w:rsidRDefault="00195795" w:rsidP="00B135F2">
            <w:r>
              <w:t>5.44</w:t>
            </w:r>
          </w:p>
        </w:tc>
      </w:tr>
      <w:tr w:rsidR="00B135F2" w:rsidTr="00195795">
        <w:tc>
          <w:tcPr>
            <w:tcW w:w="1915" w:type="dxa"/>
          </w:tcPr>
          <w:p w:rsidR="00B135F2" w:rsidRDefault="00B135F2" w:rsidP="00B135F2">
            <w:r>
              <w:t>Peoria</w:t>
            </w:r>
          </w:p>
        </w:tc>
        <w:tc>
          <w:tcPr>
            <w:tcW w:w="1915" w:type="dxa"/>
            <w:shd w:val="clear" w:color="auto" w:fill="FFFF00"/>
          </w:tcPr>
          <w:p w:rsidR="00B135F2" w:rsidRDefault="00B135F2" w:rsidP="00B135F2">
            <w:r>
              <w:t>2.13</w:t>
            </w:r>
          </w:p>
        </w:tc>
        <w:tc>
          <w:tcPr>
            <w:tcW w:w="1915" w:type="dxa"/>
          </w:tcPr>
          <w:p w:rsidR="00B135F2" w:rsidRDefault="00B135F2" w:rsidP="00B135F2">
            <w:r>
              <w:t>1.25</w:t>
            </w:r>
          </w:p>
        </w:tc>
        <w:tc>
          <w:tcPr>
            <w:tcW w:w="1915" w:type="dxa"/>
            <w:shd w:val="clear" w:color="auto" w:fill="FFFF00"/>
          </w:tcPr>
          <w:p w:rsidR="00B135F2" w:rsidRDefault="00195795" w:rsidP="00B135F2">
            <w:r>
              <w:t>1.64</w:t>
            </w:r>
          </w:p>
        </w:tc>
        <w:tc>
          <w:tcPr>
            <w:tcW w:w="1916" w:type="dxa"/>
            <w:shd w:val="clear" w:color="auto" w:fill="FF0000"/>
          </w:tcPr>
          <w:p w:rsidR="00B135F2" w:rsidRDefault="00195795" w:rsidP="00195795">
            <w:pPr>
              <w:tabs>
                <w:tab w:val="left" w:pos="780"/>
              </w:tabs>
            </w:pPr>
            <w:r>
              <w:t>3.95</w:t>
            </w:r>
            <w:r>
              <w:tab/>
            </w:r>
          </w:p>
        </w:tc>
      </w:tr>
      <w:tr w:rsidR="00B135F2" w:rsidTr="00195795">
        <w:tc>
          <w:tcPr>
            <w:tcW w:w="1915" w:type="dxa"/>
          </w:tcPr>
          <w:p w:rsidR="00B135F2" w:rsidRDefault="00B135F2" w:rsidP="00B135F2">
            <w:r>
              <w:t>Rock Island</w:t>
            </w:r>
          </w:p>
        </w:tc>
        <w:tc>
          <w:tcPr>
            <w:tcW w:w="1915" w:type="dxa"/>
            <w:shd w:val="clear" w:color="auto" w:fill="FFC000"/>
          </w:tcPr>
          <w:p w:rsidR="00B135F2" w:rsidRDefault="00B135F2" w:rsidP="00B135F2">
            <w:r>
              <w:t>2.63</w:t>
            </w:r>
          </w:p>
        </w:tc>
        <w:tc>
          <w:tcPr>
            <w:tcW w:w="1915" w:type="dxa"/>
          </w:tcPr>
          <w:p w:rsidR="00B135F2" w:rsidRDefault="00B135F2" w:rsidP="00B135F2">
            <w:r>
              <w:t>1.32</w:t>
            </w:r>
          </w:p>
        </w:tc>
        <w:tc>
          <w:tcPr>
            <w:tcW w:w="1915" w:type="dxa"/>
          </w:tcPr>
          <w:p w:rsidR="00B135F2" w:rsidRDefault="00195795" w:rsidP="00B135F2">
            <w:r>
              <w:t>1.34</w:t>
            </w:r>
          </w:p>
        </w:tc>
        <w:tc>
          <w:tcPr>
            <w:tcW w:w="1916" w:type="dxa"/>
            <w:shd w:val="clear" w:color="auto" w:fill="FF0000"/>
          </w:tcPr>
          <w:p w:rsidR="00B135F2" w:rsidRDefault="00195795" w:rsidP="00B135F2">
            <w:r>
              <w:t>4.66</w:t>
            </w:r>
          </w:p>
        </w:tc>
      </w:tr>
      <w:tr w:rsidR="00B135F2" w:rsidTr="00195795">
        <w:tc>
          <w:tcPr>
            <w:tcW w:w="1915" w:type="dxa"/>
          </w:tcPr>
          <w:p w:rsidR="00B135F2" w:rsidRDefault="00B135F2" w:rsidP="00B135F2">
            <w:r>
              <w:t>Sangamon</w:t>
            </w:r>
          </w:p>
        </w:tc>
        <w:tc>
          <w:tcPr>
            <w:tcW w:w="1915" w:type="dxa"/>
            <w:shd w:val="clear" w:color="auto" w:fill="FFC000"/>
          </w:tcPr>
          <w:p w:rsidR="00B135F2" w:rsidRDefault="00B135F2" w:rsidP="00B135F2">
            <w:r>
              <w:t>2.69</w:t>
            </w:r>
          </w:p>
        </w:tc>
        <w:tc>
          <w:tcPr>
            <w:tcW w:w="1915" w:type="dxa"/>
          </w:tcPr>
          <w:p w:rsidR="00B135F2" w:rsidRDefault="00B135F2" w:rsidP="00B135F2">
            <w:r>
              <w:t>1.13</w:t>
            </w:r>
          </w:p>
        </w:tc>
        <w:tc>
          <w:tcPr>
            <w:tcW w:w="1915" w:type="dxa"/>
            <w:shd w:val="clear" w:color="auto" w:fill="FFFF00"/>
          </w:tcPr>
          <w:p w:rsidR="00B135F2" w:rsidRDefault="00195795" w:rsidP="00B135F2">
            <w:r>
              <w:t>2.35</w:t>
            </w:r>
          </w:p>
        </w:tc>
        <w:tc>
          <w:tcPr>
            <w:tcW w:w="1916" w:type="dxa"/>
            <w:shd w:val="clear" w:color="auto" w:fill="FF0000"/>
          </w:tcPr>
          <w:p w:rsidR="00B135F2" w:rsidRDefault="00195795" w:rsidP="00B135F2">
            <w:r>
              <w:t>6.0</w:t>
            </w:r>
          </w:p>
        </w:tc>
      </w:tr>
      <w:tr w:rsidR="00B135F2" w:rsidTr="00195795">
        <w:tc>
          <w:tcPr>
            <w:tcW w:w="1915" w:type="dxa"/>
          </w:tcPr>
          <w:p w:rsidR="00B135F2" w:rsidRDefault="00B135F2" w:rsidP="00B135F2">
            <w:r>
              <w:t>Vermilion</w:t>
            </w:r>
          </w:p>
        </w:tc>
        <w:tc>
          <w:tcPr>
            <w:tcW w:w="1915" w:type="dxa"/>
            <w:shd w:val="clear" w:color="auto" w:fill="FFFF00"/>
          </w:tcPr>
          <w:p w:rsidR="00B135F2" w:rsidRDefault="00B135F2" w:rsidP="00B135F2">
            <w:r>
              <w:t>1.71</w:t>
            </w:r>
          </w:p>
        </w:tc>
        <w:tc>
          <w:tcPr>
            <w:tcW w:w="1915" w:type="dxa"/>
          </w:tcPr>
          <w:p w:rsidR="00B135F2" w:rsidRDefault="00B135F2" w:rsidP="00B135F2">
            <w:r>
              <w:t>1.12</w:t>
            </w:r>
          </w:p>
        </w:tc>
        <w:tc>
          <w:tcPr>
            <w:tcW w:w="1915" w:type="dxa"/>
            <w:shd w:val="clear" w:color="auto" w:fill="FFC000"/>
          </w:tcPr>
          <w:p w:rsidR="00B135F2" w:rsidRDefault="00195795" w:rsidP="00B135F2">
            <w:r>
              <w:t>3.02</w:t>
            </w:r>
          </w:p>
        </w:tc>
        <w:tc>
          <w:tcPr>
            <w:tcW w:w="1916" w:type="dxa"/>
            <w:shd w:val="clear" w:color="auto" w:fill="FF0000"/>
          </w:tcPr>
          <w:p w:rsidR="00B135F2" w:rsidRDefault="00195795" w:rsidP="00B135F2">
            <w:r>
              <w:t>4.44</w:t>
            </w:r>
          </w:p>
        </w:tc>
      </w:tr>
    </w:tbl>
    <w:p w:rsidR="00B135F2" w:rsidRDefault="00B135F2" w:rsidP="00B135F2"/>
    <w:p w:rsidR="00195795" w:rsidRPr="00195795" w:rsidRDefault="00195795" w:rsidP="00B135F2">
      <w:pPr>
        <w:rPr>
          <w:sz w:val="20"/>
          <w:szCs w:val="20"/>
        </w:rPr>
      </w:pPr>
      <w:r w:rsidRPr="00195795">
        <w:rPr>
          <w:sz w:val="20"/>
          <w:szCs w:val="20"/>
        </w:rPr>
        <w:t>Red =  extremely high disparity (3.5 or above)</w:t>
      </w:r>
    </w:p>
    <w:p w:rsidR="00195795" w:rsidRPr="00195795" w:rsidRDefault="00195795" w:rsidP="00B135F2">
      <w:pPr>
        <w:rPr>
          <w:sz w:val="20"/>
          <w:szCs w:val="20"/>
        </w:rPr>
      </w:pPr>
      <w:r w:rsidRPr="00195795">
        <w:rPr>
          <w:sz w:val="20"/>
          <w:szCs w:val="20"/>
        </w:rPr>
        <w:t>Orange = high disparity</w:t>
      </w:r>
      <w:r w:rsidRPr="00195795">
        <w:rPr>
          <w:sz w:val="20"/>
          <w:szCs w:val="20"/>
        </w:rPr>
        <w:tab/>
        <w:t>(2.5 to 3.49)</w:t>
      </w:r>
    </w:p>
    <w:p w:rsidR="00195795" w:rsidRPr="00195795" w:rsidRDefault="00195795" w:rsidP="00B135F2">
      <w:pPr>
        <w:rPr>
          <w:sz w:val="20"/>
          <w:szCs w:val="20"/>
        </w:rPr>
      </w:pPr>
      <w:r w:rsidRPr="00195795">
        <w:rPr>
          <w:sz w:val="20"/>
          <w:szCs w:val="20"/>
        </w:rPr>
        <w:t>Yellow = moderate disparity (1.5 to 2.49)</w:t>
      </w:r>
    </w:p>
    <w:p w:rsidR="00195795" w:rsidRDefault="00195795" w:rsidP="00B135F2">
      <w:pPr>
        <w:rPr>
          <w:sz w:val="20"/>
          <w:szCs w:val="20"/>
        </w:rPr>
      </w:pPr>
      <w:r w:rsidRPr="00195795">
        <w:rPr>
          <w:sz w:val="20"/>
          <w:szCs w:val="20"/>
        </w:rPr>
        <w:t>White = No or little disparity (under 1.5)</w:t>
      </w:r>
    </w:p>
    <w:p w:rsidR="00195795" w:rsidRDefault="00195795" w:rsidP="00B135F2">
      <w:pPr>
        <w:rPr>
          <w:sz w:val="20"/>
          <w:szCs w:val="20"/>
        </w:rPr>
      </w:pPr>
    </w:p>
    <w:p w:rsidR="00195795" w:rsidRPr="00195795" w:rsidRDefault="002E005F" w:rsidP="00B135F2">
      <w:r>
        <w:t>From this table it is clear that in FY10 all counties had moderate to high disparity at the reporting stage, but that children and families were treated equally or similarly at the indication stage.  In 4 counties disparity existed at the entry stage, with one counting having high disparity.  Where overrepresentation is most dramatic is in the percent of the overall population in care from the African American or White groups</w:t>
      </w:r>
      <w:r w:rsidRPr="002E005F">
        <w:rPr>
          <w:u w:val="single"/>
        </w:rPr>
        <w:t>.  African American children in every county were at much higher risk of being in care than White children.</w:t>
      </w:r>
    </w:p>
    <w:p w:rsidR="00195795" w:rsidRDefault="00195795" w:rsidP="00B135F2"/>
    <w:p w:rsidR="00195795" w:rsidRPr="00B135F2" w:rsidRDefault="00195795" w:rsidP="00B135F2"/>
    <w:sectPr w:rsidR="00195795" w:rsidRPr="00B135F2" w:rsidSect="00F56552">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6DB" w:rsidRDefault="004616DB" w:rsidP="00336E47">
      <w:pPr>
        <w:spacing w:after="0" w:line="240" w:lineRule="auto"/>
      </w:pPr>
      <w:r>
        <w:separator/>
      </w:r>
    </w:p>
  </w:endnote>
  <w:endnote w:type="continuationSeparator" w:id="0">
    <w:p w:rsidR="004616DB" w:rsidRDefault="004616DB" w:rsidP="00336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6DB" w:rsidRDefault="004616DB" w:rsidP="00336E47">
      <w:pPr>
        <w:spacing w:after="0" w:line="240" w:lineRule="auto"/>
      </w:pPr>
      <w:r>
        <w:separator/>
      </w:r>
    </w:p>
  </w:footnote>
  <w:footnote w:type="continuationSeparator" w:id="0">
    <w:p w:rsidR="004616DB" w:rsidRDefault="004616DB" w:rsidP="00336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47" w:rsidRPr="00336E47" w:rsidRDefault="00336E47">
    <w:pPr>
      <w:pStyle w:val="Header"/>
      <w:rPr>
        <w:i/>
      </w:rPr>
    </w:pPr>
    <w:r>
      <w:rPr>
        <w:i/>
      </w:rPr>
      <w:t>Center for Adoption Studies at Illinois State University</w:t>
    </w:r>
  </w:p>
  <w:p w:rsidR="00336E47" w:rsidRDefault="00336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6454"/>
    <w:multiLevelType w:val="hybridMultilevel"/>
    <w:tmpl w:val="4616433E"/>
    <w:lvl w:ilvl="0" w:tplc="04090009">
      <w:start w:val="1"/>
      <w:numFmt w:val="bullet"/>
      <w:lvlText w:val=""/>
      <w:lvlJc w:val="left"/>
      <w:pPr>
        <w:ind w:left="360" w:hanging="360"/>
      </w:pPr>
      <w:rPr>
        <w:rFonts w:ascii="Wingdings" w:hAnsi="Wingdings" w:hint="default"/>
      </w:rPr>
    </w:lvl>
    <w:lvl w:ilvl="1" w:tplc="FC7E0E88">
      <w:start w:val="1"/>
      <w:numFmt w:val="decimal"/>
      <w:lvlText w:val="%2."/>
      <w:lvlJc w:val="left"/>
      <w:pPr>
        <w:ind w:left="1440" w:hanging="360"/>
      </w:pPr>
      <w:rPr>
        <w:rFonts w:hint="default"/>
        <w:i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E19BB"/>
    <w:multiLevelType w:val="hybridMultilevel"/>
    <w:tmpl w:val="DB5855E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C7D9C"/>
    <w:multiLevelType w:val="hybridMultilevel"/>
    <w:tmpl w:val="1D34D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64FE8"/>
    <w:multiLevelType w:val="hybridMultilevel"/>
    <w:tmpl w:val="84BC9954"/>
    <w:lvl w:ilvl="0" w:tplc="569AC97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F3"/>
    <w:rsid w:val="00045C7A"/>
    <w:rsid w:val="000659D9"/>
    <w:rsid w:val="00075C53"/>
    <w:rsid w:val="00092DB6"/>
    <w:rsid w:val="000F7FB7"/>
    <w:rsid w:val="00195795"/>
    <w:rsid w:val="00225464"/>
    <w:rsid w:val="00233218"/>
    <w:rsid w:val="002E005F"/>
    <w:rsid w:val="002E5BDD"/>
    <w:rsid w:val="00336E47"/>
    <w:rsid w:val="00430879"/>
    <w:rsid w:val="00430CFA"/>
    <w:rsid w:val="0043274C"/>
    <w:rsid w:val="0044230C"/>
    <w:rsid w:val="004616DB"/>
    <w:rsid w:val="00482471"/>
    <w:rsid w:val="004C0338"/>
    <w:rsid w:val="004C2245"/>
    <w:rsid w:val="004C6FD0"/>
    <w:rsid w:val="005245D2"/>
    <w:rsid w:val="005655EA"/>
    <w:rsid w:val="005F77FC"/>
    <w:rsid w:val="00613317"/>
    <w:rsid w:val="00616EB6"/>
    <w:rsid w:val="00627FE0"/>
    <w:rsid w:val="0069608E"/>
    <w:rsid w:val="006D5BF3"/>
    <w:rsid w:val="006D6A10"/>
    <w:rsid w:val="00704782"/>
    <w:rsid w:val="00741447"/>
    <w:rsid w:val="00756DD9"/>
    <w:rsid w:val="0082002C"/>
    <w:rsid w:val="0089038D"/>
    <w:rsid w:val="008C756D"/>
    <w:rsid w:val="00972514"/>
    <w:rsid w:val="009B6EE2"/>
    <w:rsid w:val="009C2D19"/>
    <w:rsid w:val="009D4114"/>
    <w:rsid w:val="00A62F09"/>
    <w:rsid w:val="00A649E7"/>
    <w:rsid w:val="00A64B1B"/>
    <w:rsid w:val="00A667E7"/>
    <w:rsid w:val="00AD0FE1"/>
    <w:rsid w:val="00AD6B0A"/>
    <w:rsid w:val="00AD7CF0"/>
    <w:rsid w:val="00AE627E"/>
    <w:rsid w:val="00B11975"/>
    <w:rsid w:val="00B135F2"/>
    <w:rsid w:val="00BC00C4"/>
    <w:rsid w:val="00C027C6"/>
    <w:rsid w:val="00C10EEB"/>
    <w:rsid w:val="00C21327"/>
    <w:rsid w:val="00C54C81"/>
    <w:rsid w:val="00CC3D72"/>
    <w:rsid w:val="00D34E56"/>
    <w:rsid w:val="00D36330"/>
    <w:rsid w:val="00D76E7C"/>
    <w:rsid w:val="00DE6A93"/>
    <w:rsid w:val="00E0433C"/>
    <w:rsid w:val="00E56C82"/>
    <w:rsid w:val="00E74F40"/>
    <w:rsid w:val="00F2123C"/>
    <w:rsid w:val="00F56552"/>
    <w:rsid w:val="00F84939"/>
    <w:rsid w:val="00FE10EC"/>
    <w:rsid w:val="00FF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6A10"/>
    <w:pPr>
      <w:keepNext/>
      <w:keepLines/>
      <w:spacing w:before="480" w:after="0"/>
      <w:outlineLvl w:val="0"/>
    </w:pPr>
    <w:rPr>
      <w:rFonts w:asciiTheme="majorHAnsi" w:eastAsiaTheme="majorEastAsia" w:hAnsiTheme="majorHAnsi" w:cstheme="majorBidi"/>
      <w:b/>
      <w:bCs/>
      <w:color w:val="9D4933" w:themeColor="accent1" w:themeShade="BF"/>
      <w:sz w:val="28"/>
      <w:szCs w:val="28"/>
    </w:rPr>
  </w:style>
  <w:style w:type="paragraph" w:styleId="Heading2">
    <w:name w:val="heading 2"/>
    <w:basedOn w:val="Normal"/>
    <w:next w:val="Normal"/>
    <w:link w:val="Heading2Char"/>
    <w:uiPriority w:val="9"/>
    <w:unhideWhenUsed/>
    <w:qFormat/>
    <w:rsid w:val="00FF64F2"/>
    <w:pPr>
      <w:keepNext/>
      <w:keepLines/>
      <w:spacing w:before="200" w:after="0"/>
      <w:outlineLvl w:val="1"/>
    </w:pPr>
    <w:rPr>
      <w:rFonts w:asciiTheme="majorHAnsi" w:eastAsiaTheme="majorEastAsia" w:hAnsiTheme="majorHAnsi" w:cstheme="majorBidi"/>
      <w:b/>
      <w:bCs/>
      <w:color w:val="C66951" w:themeColor="accent1"/>
      <w:sz w:val="26"/>
      <w:szCs w:val="26"/>
    </w:rPr>
  </w:style>
  <w:style w:type="paragraph" w:styleId="Heading3">
    <w:name w:val="heading 3"/>
    <w:basedOn w:val="Normal"/>
    <w:next w:val="Normal"/>
    <w:link w:val="Heading3Char"/>
    <w:uiPriority w:val="9"/>
    <w:unhideWhenUsed/>
    <w:qFormat/>
    <w:rsid w:val="00A62F09"/>
    <w:pPr>
      <w:keepNext/>
      <w:keepLines/>
      <w:spacing w:before="200" w:after="0"/>
      <w:outlineLvl w:val="2"/>
    </w:pPr>
    <w:rPr>
      <w:rFonts w:asciiTheme="majorHAnsi" w:eastAsiaTheme="majorEastAsia" w:hAnsiTheme="majorHAnsi" w:cstheme="majorBidi"/>
      <w:b/>
      <w:bCs/>
      <w:color w:val="C6695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A10"/>
    <w:rPr>
      <w:rFonts w:asciiTheme="majorHAnsi" w:eastAsiaTheme="majorEastAsia" w:hAnsiTheme="majorHAnsi" w:cstheme="majorBidi"/>
      <w:b/>
      <w:bCs/>
      <w:color w:val="9D4933" w:themeColor="accent1" w:themeShade="BF"/>
      <w:sz w:val="28"/>
      <w:szCs w:val="28"/>
    </w:rPr>
  </w:style>
  <w:style w:type="paragraph" w:styleId="Title">
    <w:name w:val="Title"/>
    <w:basedOn w:val="Normal"/>
    <w:next w:val="Normal"/>
    <w:link w:val="TitleChar"/>
    <w:uiPriority w:val="10"/>
    <w:qFormat/>
    <w:rsid w:val="006D6A10"/>
    <w:pPr>
      <w:pBdr>
        <w:bottom w:val="single" w:sz="8" w:space="4" w:color="C66951" w:themeColor="accent1"/>
      </w:pBdr>
      <w:spacing w:after="300" w:line="240" w:lineRule="auto"/>
      <w:contextualSpacing/>
    </w:pPr>
    <w:rPr>
      <w:rFonts w:asciiTheme="majorHAnsi" w:eastAsiaTheme="majorEastAsia" w:hAnsiTheme="majorHAnsi" w:cstheme="majorBidi"/>
      <w:color w:val="3E3636" w:themeColor="text2" w:themeShade="BF"/>
      <w:spacing w:val="5"/>
      <w:kern w:val="28"/>
      <w:sz w:val="52"/>
      <w:szCs w:val="52"/>
    </w:rPr>
  </w:style>
  <w:style w:type="character" w:customStyle="1" w:styleId="TitleChar">
    <w:name w:val="Title Char"/>
    <w:basedOn w:val="DefaultParagraphFont"/>
    <w:link w:val="Title"/>
    <w:uiPriority w:val="10"/>
    <w:rsid w:val="006D6A10"/>
    <w:rPr>
      <w:rFonts w:asciiTheme="majorHAnsi" w:eastAsiaTheme="majorEastAsia" w:hAnsiTheme="majorHAnsi" w:cstheme="majorBidi"/>
      <w:color w:val="3E3636" w:themeColor="text2" w:themeShade="BF"/>
      <w:spacing w:val="5"/>
      <w:kern w:val="28"/>
      <w:sz w:val="52"/>
      <w:szCs w:val="52"/>
    </w:rPr>
  </w:style>
  <w:style w:type="paragraph" w:styleId="ListParagraph">
    <w:name w:val="List Paragraph"/>
    <w:basedOn w:val="Normal"/>
    <w:uiPriority w:val="34"/>
    <w:qFormat/>
    <w:rsid w:val="002E5BDD"/>
    <w:pPr>
      <w:ind w:left="720"/>
      <w:contextualSpacing/>
    </w:pPr>
  </w:style>
  <w:style w:type="paragraph" w:styleId="BalloonText">
    <w:name w:val="Balloon Text"/>
    <w:basedOn w:val="Normal"/>
    <w:link w:val="BalloonTextChar"/>
    <w:uiPriority w:val="99"/>
    <w:semiHidden/>
    <w:unhideWhenUsed/>
    <w:rsid w:val="00FF6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4F2"/>
    <w:rPr>
      <w:rFonts w:ascii="Tahoma" w:hAnsi="Tahoma" w:cs="Tahoma"/>
      <w:sz w:val="16"/>
      <w:szCs w:val="16"/>
    </w:rPr>
  </w:style>
  <w:style w:type="character" w:customStyle="1" w:styleId="Heading2Char">
    <w:name w:val="Heading 2 Char"/>
    <w:basedOn w:val="DefaultParagraphFont"/>
    <w:link w:val="Heading2"/>
    <w:uiPriority w:val="9"/>
    <w:rsid w:val="00FF64F2"/>
    <w:rPr>
      <w:rFonts w:asciiTheme="majorHAnsi" w:eastAsiaTheme="majorEastAsia" w:hAnsiTheme="majorHAnsi" w:cstheme="majorBidi"/>
      <w:b/>
      <w:bCs/>
      <w:color w:val="C66951" w:themeColor="accent1"/>
      <w:sz w:val="26"/>
      <w:szCs w:val="26"/>
    </w:rPr>
  </w:style>
  <w:style w:type="paragraph" w:styleId="FootnoteText">
    <w:name w:val="footnote text"/>
    <w:basedOn w:val="Normal"/>
    <w:link w:val="FootnoteTextChar"/>
    <w:uiPriority w:val="99"/>
    <w:semiHidden/>
    <w:unhideWhenUsed/>
    <w:rsid w:val="00336E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E47"/>
    <w:rPr>
      <w:sz w:val="20"/>
      <w:szCs w:val="20"/>
    </w:rPr>
  </w:style>
  <w:style w:type="character" w:styleId="FootnoteReference">
    <w:name w:val="footnote reference"/>
    <w:basedOn w:val="DefaultParagraphFont"/>
    <w:uiPriority w:val="99"/>
    <w:semiHidden/>
    <w:unhideWhenUsed/>
    <w:rsid w:val="00336E47"/>
    <w:rPr>
      <w:vertAlign w:val="superscript"/>
    </w:rPr>
  </w:style>
  <w:style w:type="paragraph" w:styleId="Header">
    <w:name w:val="header"/>
    <w:basedOn w:val="Normal"/>
    <w:link w:val="HeaderChar"/>
    <w:uiPriority w:val="99"/>
    <w:unhideWhenUsed/>
    <w:rsid w:val="00336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47"/>
  </w:style>
  <w:style w:type="paragraph" w:styleId="Footer">
    <w:name w:val="footer"/>
    <w:basedOn w:val="Normal"/>
    <w:link w:val="FooterChar"/>
    <w:uiPriority w:val="99"/>
    <w:semiHidden/>
    <w:unhideWhenUsed/>
    <w:rsid w:val="00336E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6E47"/>
  </w:style>
  <w:style w:type="character" w:customStyle="1" w:styleId="Heading3Char">
    <w:name w:val="Heading 3 Char"/>
    <w:basedOn w:val="DefaultParagraphFont"/>
    <w:link w:val="Heading3"/>
    <w:uiPriority w:val="9"/>
    <w:rsid w:val="00A62F09"/>
    <w:rPr>
      <w:rFonts w:asciiTheme="majorHAnsi" w:eastAsiaTheme="majorEastAsia" w:hAnsiTheme="majorHAnsi" w:cstheme="majorBidi"/>
      <w:b/>
      <w:bCs/>
      <w:color w:val="C66951" w:themeColor="accent1"/>
    </w:rPr>
  </w:style>
  <w:style w:type="paragraph" w:styleId="Subtitle">
    <w:name w:val="Subtitle"/>
    <w:basedOn w:val="Normal"/>
    <w:next w:val="Normal"/>
    <w:link w:val="SubtitleChar"/>
    <w:uiPriority w:val="11"/>
    <w:qFormat/>
    <w:rsid w:val="00A62F09"/>
    <w:pPr>
      <w:numPr>
        <w:ilvl w:val="1"/>
      </w:numPr>
    </w:pPr>
    <w:rPr>
      <w:rFonts w:asciiTheme="majorHAnsi" w:eastAsiaTheme="majorEastAsia" w:hAnsiTheme="majorHAnsi" w:cstheme="majorBidi"/>
      <w:i/>
      <w:iCs/>
      <w:color w:val="C66951" w:themeColor="accent1"/>
      <w:spacing w:val="15"/>
      <w:sz w:val="24"/>
      <w:szCs w:val="24"/>
    </w:rPr>
  </w:style>
  <w:style w:type="character" w:customStyle="1" w:styleId="SubtitleChar">
    <w:name w:val="Subtitle Char"/>
    <w:basedOn w:val="DefaultParagraphFont"/>
    <w:link w:val="Subtitle"/>
    <w:uiPriority w:val="11"/>
    <w:rsid w:val="00A62F09"/>
    <w:rPr>
      <w:rFonts w:asciiTheme="majorHAnsi" w:eastAsiaTheme="majorEastAsia" w:hAnsiTheme="majorHAnsi" w:cstheme="majorBidi"/>
      <w:i/>
      <w:iCs/>
      <w:color w:val="C66951" w:themeColor="accent1"/>
      <w:spacing w:val="15"/>
      <w:sz w:val="24"/>
      <w:szCs w:val="24"/>
    </w:rPr>
  </w:style>
  <w:style w:type="table" w:styleId="TableGrid">
    <w:name w:val="Table Grid"/>
    <w:basedOn w:val="TableNormal"/>
    <w:uiPriority w:val="59"/>
    <w:rsid w:val="00B13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245D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6A10"/>
    <w:pPr>
      <w:keepNext/>
      <w:keepLines/>
      <w:spacing w:before="480" w:after="0"/>
      <w:outlineLvl w:val="0"/>
    </w:pPr>
    <w:rPr>
      <w:rFonts w:asciiTheme="majorHAnsi" w:eastAsiaTheme="majorEastAsia" w:hAnsiTheme="majorHAnsi" w:cstheme="majorBidi"/>
      <w:b/>
      <w:bCs/>
      <w:color w:val="9D4933" w:themeColor="accent1" w:themeShade="BF"/>
      <w:sz w:val="28"/>
      <w:szCs w:val="28"/>
    </w:rPr>
  </w:style>
  <w:style w:type="paragraph" w:styleId="Heading2">
    <w:name w:val="heading 2"/>
    <w:basedOn w:val="Normal"/>
    <w:next w:val="Normal"/>
    <w:link w:val="Heading2Char"/>
    <w:uiPriority w:val="9"/>
    <w:unhideWhenUsed/>
    <w:qFormat/>
    <w:rsid w:val="00FF64F2"/>
    <w:pPr>
      <w:keepNext/>
      <w:keepLines/>
      <w:spacing w:before="200" w:after="0"/>
      <w:outlineLvl w:val="1"/>
    </w:pPr>
    <w:rPr>
      <w:rFonts w:asciiTheme="majorHAnsi" w:eastAsiaTheme="majorEastAsia" w:hAnsiTheme="majorHAnsi" w:cstheme="majorBidi"/>
      <w:b/>
      <w:bCs/>
      <w:color w:val="C66951" w:themeColor="accent1"/>
      <w:sz w:val="26"/>
      <w:szCs w:val="26"/>
    </w:rPr>
  </w:style>
  <w:style w:type="paragraph" w:styleId="Heading3">
    <w:name w:val="heading 3"/>
    <w:basedOn w:val="Normal"/>
    <w:next w:val="Normal"/>
    <w:link w:val="Heading3Char"/>
    <w:uiPriority w:val="9"/>
    <w:unhideWhenUsed/>
    <w:qFormat/>
    <w:rsid w:val="00A62F09"/>
    <w:pPr>
      <w:keepNext/>
      <w:keepLines/>
      <w:spacing w:before="200" w:after="0"/>
      <w:outlineLvl w:val="2"/>
    </w:pPr>
    <w:rPr>
      <w:rFonts w:asciiTheme="majorHAnsi" w:eastAsiaTheme="majorEastAsia" w:hAnsiTheme="majorHAnsi" w:cstheme="majorBidi"/>
      <w:b/>
      <w:bCs/>
      <w:color w:val="C6695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A10"/>
    <w:rPr>
      <w:rFonts w:asciiTheme="majorHAnsi" w:eastAsiaTheme="majorEastAsia" w:hAnsiTheme="majorHAnsi" w:cstheme="majorBidi"/>
      <w:b/>
      <w:bCs/>
      <w:color w:val="9D4933" w:themeColor="accent1" w:themeShade="BF"/>
      <w:sz w:val="28"/>
      <w:szCs w:val="28"/>
    </w:rPr>
  </w:style>
  <w:style w:type="paragraph" w:styleId="Title">
    <w:name w:val="Title"/>
    <w:basedOn w:val="Normal"/>
    <w:next w:val="Normal"/>
    <w:link w:val="TitleChar"/>
    <w:uiPriority w:val="10"/>
    <w:qFormat/>
    <w:rsid w:val="006D6A10"/>
    <w:pPr>
      <w:pBdr>
        <w:bottom w:val="single" w:sz="8" w:space="4" w:color="C66951" w:themeColor="accent1"/>
      </w:pBdr>
      <w:spacing w:after="300" w:line="240" w:lineRule="auto"/>
      <w:contextualSpacing/>
    </w:pPr>
    <w:rPr>
      <w:rFonts w:asciiTheme="majorHAnsi" w:eastAsiaTheme="majorEastAsia" w:hAnsiTheme="majorHAnsi" w:cstheme="majorBidi"/>
      <w:color w:val="3E3636" w:themeColor="text2" w:themeShade="BF"/>
      <w:spacing w:val="5"/>
      <w:kern w:val="28"/>
      <w:sz w:val="52"/>
      <w:szCs w:val="52"/>
    </w:rPr>
  </w:style>
  <w:style w:type="character" w:customStyle="1" w:styleId="TitleChar">
    <w:name w:val="Title Char"/>
    <w:basedOn w:val="DefaultParagraphFont"/>
    <w:link w:val="Title"/>
    <w:uiPriority w:val="10"/>
    <w:rsid w:val="006D6A10"/>
    <w:rPr>
      <w:rFonts w:asciiTheme="majorHAnsi" w:eastAsiaTheme="majorEastAsia" w:hAnsiTheme="majorHAnsi" w:cstheme="majorBidi"/>
      <w:color w:val="3E3636" w:themeColor="text2" w:themeShade="BF"/>
      <w:spacing w:val="5"/>
      <w:kern w:val="28"/>
      <w:sz w:val="52"/>
      <w:szCs w:val="52"/>
    </w:rPr>
  </w:style>
  <w:style w:type="paragraph" w:styleId="ListParagraph">
    <w:name w:val="List Paragraph"/>
    <w:basedOn w:val="Normal"/>
    <w:uiPriority w:val="34"/>
    <w:qFormat/>
    <w:rsid w:val="002E5BDD"/>
    <w:pPr>
      <w:ind w:left="720"/>
      <w:contextualSpacing/>
    </w:pPr>
  </w:style>
  <w:style w:type="paragraph" w:styleId="BalloonText">
    <w:name w:val="Balloon Text"/>
    <w:basedOn w:val="Normal"/>
    <w:link w:val="BalloonTextChar"/>
    <w:uiPriority w:val="99"/>
    <w:semiHidden/>
    <w:unhideWhenUsed/>
    <w:rsid w:val="00FF6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4F2"/>
    <w:rPr>
      <w:rFonts w:ascii="Tahoma" w:hAnsi="Tahoma" w:cs="Tahoma"/>
      <w:sz w:val="16"/>
      <w:szCs w:val="16"/>
    </w:rPr>
  </w:style>
  <w:style w:type="character" w:customStyle="1" w:styleId="Heading2Char">
    <w:name w:val="Heading 2 Char"/>
    <w:basedOn w:val="DefaultParagraphFont"/>
    <w:link w:val="Heading2"/>
    <w:uiPriority w:val="9"/>
    <w:rsid w:val="00FF64F2"/>
    <w:rPr>
      <w:rFonts w:asciiTheme="majorHAnsi" w:eastAsiaTheme="majorEastAsia" w:hAnsiTheme="majorHAnsi" w:cstheme="majorBidi"/>
      <w:b/>
      <w:bCs/>
      <w:color w:val="C66951" w:themeColor="accent1"/>
      <w:sz w:val="26"/>
      <w:szCs w:val="26"/>
    </w:rPr>
  </w:style>
  <w:style w:type="paragraph" w:styleId="FootnoteText">
    <w:name w:val="footnote text"/>
    <w:basedOn w:val="Normal"/>
    <w:link w:val="FootnoteTextChar"/>
    <w:uiPriority w:val="99"/>
    <w:semiHidden/>
    <w:unhideWhenUsed/>
    <w:rsid w:val="00336E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E47"/>
    <w:rPr>
      <w:sz w:val="20"/>
      <w:szCs w:val="20"/>
    </w:rPr>
  </w:style>
  <w:style w:type="character" w:styleId="FootnoteReference">
    <w:name w:val="footnote reference"/>
    <w:basedOn w:val="DefaultParagraphFont"/>
    <w:uiPriority w:val="99"/>
    <w:semiHidden/>
    <w:unhideWhenUsed/>
    <w:rsid w:val="00336E47"/>
    <w:rPr>
      <w:vertAlign w:val="superscript"/>
    </w:rPr>
  </w:style>
  <w:style w:type="paragraph" w:styleId="Header">
    <w:name w:val="header"/>
    <w:basedOn w:val="Normal"/>
    <w:link w:val="HeaderChar"/>
    <w:uiPriority w:val="99"/>
    <w:unhideWhenUsed/>
    <w:rsid w:val="00336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47"/>
  </w:style>
  <w:style w:type="paragraph" w:styleId="Footer">
    <w:name w:val="footer"/>
    <w:basedOn w:val="Normal"/>
    <w:link w:val="FooterChar"/>
    <w:uiPriority w:val="99"/>
    <w:semiHidden/>
    <w:unhideWhenUsed/>
    <w:rsid w:val="00336E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6E47"/>
  </w:style>
  <w:style w:type="character" w:customStyle="1" w:styleId="Heading3Char">
    <w:name w:val="Heading 3 Char"/>
    <w:basedOn w:val="DefaultParagraphFont"/>
    <w:link w:val="Heading3"/>
    <w:uiPriority w:val="9"/>
    <w:rsid w:val="00A62F09"/>
    <w:rPr>
      <w:rFonts w:asciiTheme="majorHAnsi" w:eastAsiaTheme="majorEastAsia" w:hAnsiTheme="majorHAnsi" w:cstheme="majorBidi"/>
      <w:b/>
      <w:bCs/>
      <w:color w:val="C66951" w:themeColor="accent1"/>
    </w:rPr>
  </w:style>
  <w:style w:type="paragraph" w:styleId="Subtitle">
    <w:name w:val="Subtitle"/>
    <w:basedOn w:val="Normal"/>
    <w:next w:val="Normal"/>
    <w:link w:val="SubtitleChar"/>
    <w:uiPriority w:val="11"/>
    <w:qFormat/>
    <w:rsid w:val="00A62F09"/>
    <w:pPr>
      <w:numPr>
        <w:ilvl w:val="1"/>
      </w:numPr>
    </w:pPr>
    <w:rPr>
      <w:rFonts w:asciiTheme="majorHAnsi" w:eastAsiaTheme="majorEastAsia" w:hAnsiTheme="majorHAnsi" w:cstheme="majorBidi"/>
      <w:i/>
      <w:iCs/>
      <w:color w:val="C66951" w:themeColor="accent1"/>
      <w:spacing w:val="15"/>
      <w:sz w:val="24"/>
      <w:szCs w:val="24"/>
    </w:rPr>
  </w:style>
  <w:style w:type="character" w:customStyle="1" w:styleId="SubtitleChar">
    <w:name w:val="Subtitle Char"/>
    <w:basedOn w:val="DefaultParagraphFont"/>
    <w:link w:val="Subtitle"/>
    <w:uiPriority w:val="11"/>
    <w:rsid w:val="00A62F09"/>
    <w:rPr>
      <w:rFonts w:asciiTheme="majorHAnsi" w:eastAsiaTheme="majorEastAsia" w:hAnsiTheme="majorHAnsi" w:cstheme="majorBidi"/>
      <w:i/>
      <w:iCs/>
      <w:color w:val="C66951" w:themeColor="accent1"/>
      <w:spacing w:val="15"/>
      <w:sz w:val="24"/>
      <w:szCs w:val="24"/>
    </w:rPr>
  </w:style>
  <w:style w:type="table" w:styleId="TableGrid">
    <w:name w:val="Table Grid"/>
    <w:basedOn w:val="TableNormal"/>
    <w:uiPriority w:val="59"/>
    <w:rsid w:val="00B13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245D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jhoward\Desktop\2001=2010Copy%20of%20Entry%20into%20Care%20by%20region%20&amp;%20state.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asfiles01\SocialWork\Center%20for%20Adoption%20Studies\1%20DCFS_PEP\Action%20Teams\DCFS%2011%20PEP\CENTRAL%20Action%20teams\New%20Disparity%20Ratio%20%206-20-11.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asfiles01\SocialWork\Center%20for%20Adoption%20Studies\1%20DCFS_PEP\Action%20Teams\DCFS%2011%20PEP\CENTRAL%20Action%20teams\New%20Disparity%20Ratio%20%206-20-11.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asfiles01\SocialWork\Center%20for%20Adoption%20Studies\1%20DCFS_PEP\Action%20Teams\DCFS%2011%20PEP\CENTRAL%20Action%20teams\New%20Disparity%20Ratio%20%206-20-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jhoward\Desktop\2001=2010Copy%20of%20Entry%20into%20Care%20by%20region%20&amp;%20stat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jhoward\Desktop\2001=2010Copy%20of%20Entry%20into%20Care%20by%20region%20&amp;%20state.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jhoward\Desktop\2001=2010Copy%20of%20Entry%20into%20Care%20by%20region%20&amp;%20stat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jhoward\Desktop\2001=2010Copy%20of%20Entry%20into%20Care%20by%20region%20&amp;%20stat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jhoward\Desktop\2001=2010Copy%20of%20Entry%20into%20Care%20by%20region%20&amp;%20stat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jhoward\Desktop\2001=2010Copy%20of%20Entry%20into%20Care%20by%20region%20&amp;%20state.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asfiles01\SocialWork\Center%20for%20Adoption%20Studies\1%20DCFS_PEP\Action%20Teams\DCFS%2011%20PEP\CENTRAL%20Action%20teams\New%20Disparity%20Ratio%20%206-20-11.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asfiles01\SocialWork\Center%20for%20Adoption%20Studies\1%20DCFS_PEP\Action%20Teams\DCFS%2011%20PEP\CENTRAL%20Action%20teams\New%20Disparity%20Ratio%20%206-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Statewide Foster Care Entry by Race/Ethnicity</a:t>
            </a:r>
            <a:endParaRPr lang="en-US"/>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baseline="0"/>
              <a:t> </a:t>
            </a:r>
            <a:endParaRPr lang="en-US"/>
          </a:p>
        </c:rich>
      </c:tx>
      <c:layout>
        <c:manualLayout>
          <c:xMode val="edge"/>
          <c:yMode val="edge"/>
          <c:x val="0.1273748906386695"/>
          <c:y val="2.2598863354282187E-2"/>
        </c:manualLayout>
      </c:layout>
      <c:overlay val="0"/>
    </c:title>
    <c:autoTitleDeleted val="0"/>
    <c:plotArea>
      <c:layout>
        <c:manualLayout>
          <c:layoutTarget val="inner"/>
          <c:xMode val="edge"/>
          <c:yMode val="edge"/>
          <c:x val="0.12966338582677239"/>
          <c:y val="0.21014184790490445"/>
          <c:w val="0.8543309273840799"/>
          <c:h val="0.55717052740468065"/>
        </c:manualLayout>
      </c:layout>
      <c:lineChart>
        <c:grouping val="standard"/>
        <c:varyColors val="0"/>
        <c:ser>
          <c:idx val="0"/>
          <c:order val="0"/>
          <c:tx>
            <c:strRef>
              <c:f>Sheet1!$A$47</c:f>
              <c:strCache>
                <c:ptCount val="1"/>
                <c:pt idx="0">
                  <c:v>African American</c:v>
                </c:pt>
              </c:strCache>
            </c:strRef>
          </c:tx>
          <c:cat>
            <c:numRef>
              <c:f>Sheet1!$B$46:$K$46</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Sheet1!$B$47:$K$47</c:f>
              <c:numCache>
                <c:formatCode>0</c:formatCode>
                <c:ptCount val="10"/>
                <c:pt idx="0">
                  <c:v>3277</c:v>
                </c:pt>
                <c:pt idx="1">
                  <c:v>3008</c:v>
                </c:pt>
                <c:pt idx="2">
                  <c:v>2827</c:v>
                </c:pt>
                <c:pt idx="3">
                  <c:v>2526</c:v>
                </c:pt>
                <c:pt idx="4">
                  <c:v>2688</c:v>
                </c:pt>
                <c:pt idx="5">
                  <c:v>2335</c:v>
                </c:pt>
                <c:pt idx="6" formatCode="General">
                  <c:v>2147</c:v>
                </c:pt>
                <c:pt idx="7" formatCode="General">
                  <c:v>2435</c:v>
                </c:pt>
                <c:pt idx="8" formatCode="General">
                  <c:v>2144</c:v>
                </c:pt>
                <c:pt idx="9" formatCode="General">
                  <c:v>2139</c:v>
                </c:pt>
              </c:numCache>
            </c:numRef>
          </c:val>
          <c:smooth val="0"/>
        </c:ser>
        <c:ser>
          <c:idx val="1"/>
          <c:order val="1"/>
          <c:tx>
            <c:strRef>
              <c:f>Sheet1!$A$48</c:f>
              <c:strCache>
                <c:ptCount val="1"/>
                <c:pt idx="0">
                  <c:v>Caucasian</c:v>
                </c:pt>
              </c:strCache>
            </c:strRef>
          </c:tx>
          <c:cat>
            <c:numRef>
              <c:f>Sheet1!$B$46:$K$46</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Sheet1!$B$48:$K$48</c:f>
              <c:numCache>
                <c:formatCode>0</c:formatCode>
                <c:ptCount val="10"/>
                <c:pt idx="0">
                  <c:v>2009</c:v>
                </c:pt>
                <c:pt idx="1">
                  <c:v>2068</c:v>
                </c:pt>
                <c:pt idx="2">
                  <c:v>2020</c:v>
                </c:pt>
                <c:pt idx="3">
                  <c:v>2192</c:v>
                </c:pt>
                <c:pt idx="4">
                  <c:v>2188</c:v>
                </c:pt>
                <c:pt idx="5">
                  <c:v>2112</c:v>
                </c:pt>
                <c:pt idx="6" formatCode="General">
                  <c:v>2034</c:v>
                </c:pt>
                <c:pt idx="7" formatCode="General">
                  <c:v>2377</c:v>
                </c:pt>
                <c:pt idx="8" formatCode="General">
                  <c:v>2294</c:v>
                </c:pt>
                <c:pt idx="9" formatCode="General">
                  <c:v>2473</c:v>
                </c:pt>
              </c:numCache>
            </c:numRef>
          </c:val>
          <c:smooth val="0"/>
        </c:ser>
        <c:ser>
          <c:idx val="2"/>
          <c:order val="2"/>
          <c:tx>
            <c:strRef>
              <c:f>Sheet1!$A$49</c:f>
              <c:strCache>
                <c:ptCount val="1"/>
                <c:pt idx="0">
                  <c:v>Hispanic</c:v>
                </c:pt>
              </c:strCache>
            </c:strRef>
          </c:tx>
          <c:cat>
            <c:numRef>
              <c:f>Sheet1!$B$46:$K$46</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Sheet1!$B$49:$K$49</c:f>
              <c:numCache>
                <c:formatCode>0</c:formatCode>
                <c:ptCount val="10"/>
                <c:pt idx="0">
                  <c:v>333</c:v>
                </c:pt>
                <c:pt idx="1">
                  <c:v>375</c:v>
                </c:pt>
                <c:pt idx="2">
                  <c:v>286</c:v>
                </c:pt>
                <c:pt idx="3">
                  <c:v>239</c:v>
                </c:pt>
                <c:pt idx="4">
                  <c:v>312</c:v>
                </c:pt>
                <c:pt idx="5">
                  <c:v>240</c:v>
                </c:pt>
                <c:pt idx="6" formatCode="General">
                  <c:v>243</c:v>
                </c:pt>
                <c:pt idx="7" formatCode="General">
                  <c:v>298</c:v>
                </c:pt>
                <c:pt idx="8" formatCode="General">
                  <c:v>268</c:v>
                </c:pt>
                <c:pt idx="9" formatCode="General">
                  <c:v>253</c:v>
                </c:pt>
              </c:numCache>
            </c:numRef>
          </c:val>
          <c:smooth val="0"/>
        </c:ser>
        <c:ser>
          <c:idx val="3"/>
          <c:order val="3"/>
          <c:tx>
            <c:strRef>
              <c:f>Sheet1!$A$50</c:f>
              <c:strCache>
                <c:ptCount val="1"/>
                <c:pt idx="0">
                  <c:v>Other</c:v>
                </c:pt>
              </c:strCache>
            </c:strRef>
          </c:tx>
          <c:cat>
            <c:numRef>
              <c:f>Sheet1!$B$46:$K$46</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Sheet1!$B$50:$K$50</c:f>
              <c:numCache>
                <c:formatCode>0</c:formatCode>
                <c:ptCount val="10"/>
                <c:pt idx="0">
                  <c:v>209</c:v>
                </c:pt>
                <c:pt idx="1">
                  <c:v>185</c:v>
                </c:pt>
                <c:pt idx="2">
                  <c:v>167</c:v>
                </c:pt>
                <c:pt idx="3">
                  <c:v>82</c:v>
                </c:pt>
                <c:pt idx="4">
                  <c:v>111</c:v>
                </c:pt>
                <c:pt idx="5">
                  <c:v>87</c:v>
                </c:pt>
                <c:pt idx="6" formatCode="General">
                  <c:v>80</c:v>
                </c:pt>
                <c:pt idx="7" formatCode="General">
                  <c:v>101</c:v>
                </c:pt>
                <c:pt idx="8" formatCode="General">
                  <c:v>113</c:v>
                </c:pt>
                <c:pt idx="9" formatCode="General">
                  <c:v>124</c:v>
                </c:pt>
              </c:numCache>
            </c:numRef>
          </c:val>
          <c:smooth val="0"/>
        </c:ser>
        <c:dLbls>
          <c:showLegendKey val="0"/>
          <c:showVal val="0"/>
          <c:showCatName val="0"/>
          <c:showSerName val="0"/>
          <c:showPercent val="0"/>
          <c:showBubbleSize val="0"/>
        </c:dLbls>
        <c:marker val="1"/>
        <c:smooth val="0"/>
        <c:axId val="33694848"/>
        <c:axId val="33696384"/>
      </c:lineChart>
      <c:catAx>
        <c:axId val="33694848"/>
        <c:scaling>
          <c:orientation val="minMax"/>
        </c:scaling>
        <c:delete val="0"/>
        <c:axPos val="b"/>
        <c:numFmt formatCode="0" sourceLinked="1"/>
        <c:majorTickMark val="out"/>
        <c:minorTickMark val="none"/>
        <c:tickLblPos val="nextTo"/>
        <c:crossAx val="33696384"/>
        <c:crosses val="autoZero"/>
        <c:auto val="1"/>
        <c:lblAlgn val="ctr"/>
        <c:lblOffset val="100"/>
        <c:noMultiLvlLbl val="0"/>
      </c:catAx>
      <c:valAx>
        <c:axId val="33696384"/>
        <c:scaling>
          <c:orientation val="minMax"/>
        </c:scaling>
        <c:delete val="0"/>
        <c:axPos val="l"/>
        <c:majorGridlines/>
        <c:numFmt formatCode="0" sourceLinked="1"/>
        <c:majorTickMark val="out"/>
        <c:minorTickMark val="none"/>
        <c:tickLblPos val="nextTo"/>
        <c:crossAx val="33694848"/>
        <c:crosses val="autoZero"/>
        <c:crossBetween val="between"/>
      </c:valAx>
    </c:plotArea>
    <c:legend>
      <c:legendPos val="r"/>
      <c:layout>
        <c:manualLayout>
          <c:xMode val="edge"/>
          <c:yMode val="edge"/>
          <c:x val="0.13623600174978129"/>
          <c:y val="0.86896875320752565"/>
          <c:w val="0.83598622047244098"/>
          <c:h val="8.9385474860335185E-2"/>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27515310586177"/>
          <c:y val="0.17743930446194325"/>
          <c:w val="0.83293890347040178"/>
          <c:h val="0.64455107174103232"/>
        </c:manualLayout>
      </c:layout>
      <c:barChart>
        <c:barDir val="col"/>
        <c:grouping val="clustered"/>
        <c:varyColors val="0"/>
        <c:ser>
          <c:idx val="0"/>
          <c:order val="0"/>
          <c:tx>
            <c:strRef>
              <c:f>'Disparity ratio'!$A$61</c:f>
              <c:strCache>
                <c:ptCount val="1"/>
                <c:pt idx="0">
                  <c:v>African American</c:v>
                </c:pt>
              </c:strCache>
            </c:strRef>
          </c:tx>
          <c:invertIfNegative val="0"/>
          <c:cat>
            <c:strRef>
              <c:f>'Disparity ratio'!$B$2:$H$2</c:f>
              <c:strCache>
                <c:ptCount val="7"/>
                <c:pt idx="0">
                  <c:v>Champaign</c:v>
                </c:pt>
                <c:pt idx="1">
                  <c:v>Macon</c:v>
                </c:pt>
                <c:pt idx="2">
                  <c:v>McLean</c:v>
                </c:pt>
                <c:pt idx="3">
                  <c:v>Peoria</c:v>
                </c:pt>
                <c:pt idx="4">
                  <c:v>Rock Island</c:v>
                </c:pt>
                <c:pt idx="5">
                  <c:v>Sangamon</c:v>
                </c:pt>
                <c:pt idx="6">
                  <c:v>Vermilion</c:v>
                </c:pt>
              </c:strCache>
            </c:strRef>
          </c:cat>
          <c:val>
            <c:numRef>
              <c:f>'Disparity ratio'!$B$61:$H$61</c:f>
              <c:numCache>
                <c:formatCode>0.00%</c:formatCode>
                <c:ptCount val="7"/>
                <c:pt idx="0">
                  <c:v>0.30508474576271288</c:v>
                </c:pt>
                <c:pt idx="1">
                  <c:v>0.23766816143497771</c:v>
                </c:pt>
                <c:pt idx="2">
                  <c:v>0.33333333333333331</c:v>
                </c:pt>
                <c:pt idx="3">
                  <c:v>0.35597826086956652</c:v>
                </c:pt>
                <c:pt idx="4">
                  <c:v>0.21825396825396826</c:v>
                </c:pt>
                <c:pt idx="5">
                  <c:v>0.21376811594202946</c:v>
                </c:pt>
                <c:pt idx="6">
                  <c:v>0.3902439024390244</c:v>
                </c:pt>
              </c:numCache>
            </c:numRef>
          </c:val>
        </c:ser>
        <c:ser>
          <c:idx val="1"/>
          <c:order val="1"/>
          <c:tx>
            <c:strRef>
              <c:f>'Disparity ratio'!$A$62</c:f>
              <c:strCache>
                <c:ptCount val="1"/>
                <c:pt idx="0">
                  <c:v>Caucasian</c:v>
                </c:pt>
              </c:strCache>
            </c:strRef>
          </c:tx>
          <c:invertIfNegative val="0"/>
          <c:cat>
            <c:strRef>
              <c:f>'Disparity ratio'!$B$2:$H$2</c:f>
              <c:strCache>
                <c:ptCount val="7"/>
                <c:pt idx="0">
                  <c:v>Champaign</c:v>
                </c:pt>
                <c:pt idx="1">
                  <c:v>Macon</c:v>
                </c:pt>
                <c:pt idx="2">
                  <c:v>McLean</c:v>
                </c:pt>
                <c:pt idx="3">
                  <c:v>Peoria</c:v>
                </c:pt>
                <c:pt idx="4">
                  <c:v>Rock Island</c:v>
                </c:pt>
                <c:pt idx="5">
                  <c:v>Sangamon</c:v>
                </c:pt>
                <c:pt idx="6">
                  <c:v>Vermilion</c:v>
                </c:pt>
              </c:strCache>
            </c:strRef>
          </c:cat>
          <c:val>
            <c:numRef>
              <c:f>'Disparity ratio'!$B$62:$H$62</c:f>
              <c:numCache>
                <c:formatCode>0.00%</c:formatCode>
                <c:ptCount val="7"/>
                <c:pt idx="0">
                  <c:v>0.29383886255924296</c:v>
                </c:pt>
                <c:pt idx="1">
                  <c:v>0.18584070796460178</c:v>
                </c:pt>
                <c:pt idx="2">
                  <c:v>0.21584699453551948</c:v>
                </c:pt>
                <c:pt idx="3">
                  <c:v>0.21649484536082531</c:v>
                </c:pt>
                <c:pt idx="4">
                  <c:v>0.1628392484342383</c:v>
                </c:pt>
                <c:pt idx="5">
                  <c:v>9.0909090909091064E-2</c:v>
                </c:pt>
                <c:pt idx="6">
                  <c:v>0.12913907284768211</c:v>
                </c:pt>
              </c:numCache>
            </c:numRef>
          </c:val>
        </c:ser>
        <c:dLbls>
          <c:showLegendKey val="0"/>
          <c:showVal val="0"/>
          <c:showCatName val="0"/>
          <c:showSerName val="0"/>
          <c:showPercent val="0"/>
          <c:showBubbleSize val="0"/>
        </c:dLbls>
        <c:gapWidth val="150"/>
        <c:axId val="83459072"/>
        <c:axId val="83464960"/>
      </c:barChart>
      <c:catAx>
        <c:axId val="83459072"/>
        <c:scaling>
          <c:orientation val="minMax"/>
        </c:scaling>
        <c:delete val="0"/>
        <c:axPos val="b"/>
        <c:majorTickMark val="out"/>
        <c:minorTickMark val="none"/>
        <c:tickLblPos val="nextTo"/>
        <c:txPr>
          <a:bodyPr/>
          <a:lstStyle/>
          <a:p>
            <a:pPr>
              <a:defRPr>
                <a:latin typeface="Arial" pitchFamily="34" charset="0"/>
                <a:cs typeface="Arial" pitchFamily="34" charset="0"/>
              </a:defRPr>
            </a:pPr>
            <a:endParaRPr lang="en-US"/>
          </a:p>
        </c:txPr>
        <c:crossAx val="83464960"/>
        <c:crosses val="autoZero"/>
        <c:auto val="1"/>
        <c:lblAlgn val="ctr"/>
        <c:lblOffset val="100"/>
        <c:noMultiLvlLbl val="0"/>
      </c:catAx>
      <c:valAx>
        <c:axId val="83464960"/>
        <c:scaling>
          <c:orientation val="minMax"/>
          <c:max val="0.5"/>
        </c:scaling>
        <c:delete val="0"/>
        <c:axPos val="l"/>
        <c:majorGridlines/>
        <c:numFmt formatCode="0%" sourceLinked="0"/>
        <c:majorTickMark val="out"/>
        <c:minorTickMark val="none"/>
        <c:tickLblPos val="nextTo"/>
        <c:txPr>
          <a:bodyPr/>
          <a:lstStyle/>
          <a:p>
            <a:pPr>
              <a:defRPr>
                <a:latin typeface="Arial" pitchFamily="34" charset="0"/>
                <a:cs typeface="Arial" pitchFamily="34" charset="0"/>
              </a:defRPr>
            </a:pPr>
            <a:endParaRPr lang="en-US"/>
          </a:p>
        </c:txPr>
        <c:crossAx val="83459072"/>
        <c:crosses val="autoZero"/>
        <c:crossBetween val="between"/>
        <c:majorUnit val="0.1"/>
      </c:valAx>
    </c:plotArea>
    <c:legend>
      <c:legendPos val="r"/>
      <c:layout>
        <c:manualLayout>
          <c:xMode val="edge"/>
          <c:yMode val="edge"/>
          <c:x val="0"/>
          <c:y val="0.93943104768153995"/>
          <c:w val="0.40122083697871097"/>
          <c:h val="5.6323272090988613E-2"/>
        </c:manualLayout>
      </c:layout>
      <c:overlay val="0"/>
    </c:legend>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257144940215809"/>
          <c:y val="0.17743921884503544"/>
          <c:w val="0.83293890347040145"/>
          <c:h val="0.64455107174103232"/>
        </c:manualLayout>
      </c:layout>
      <c:barChart>
        <c:barDir val="col"/>
        <c:grouping val="clustered"/>
        <c:varyColors val="0"/>
        <c:ser>
          <c:idx val="0"/>
          <c:order val="0"/>
          <c:tx>
            <c:strRef>
              <c:f>'Disparity ratio'!$A$92</c:f>
              <c:strCache>
                <c:ptCount val="1"/>
                <c:pt idx="0">
                  <c:v>African American</c:v>
                </c:pt>
              </c:strCache>
            </c:strRef>
          </c:tx>
          <c:invertIfNegative val="0"/>
          <c:cat>
            <c:strRef>
              <c:f>'Disparity ratio'!$B$2:$H$2</c:f>
              <c:strCache>
                <c:ptCount val="7"/>
                <c:pt idx="0">
                  <c:v>Champaign</c:v>
                </c:pt>
                <c:pt idx="1">
                  <c:v>Macon</c:v>
                </c:pt>
                <c:pt idx="2">
                  <c:v>McLean</c:v>
                </c:pt>
                <c:pt idx="3">
                  <c:v>Peoria</c:v>
                </c:pt>
                <c:pt idx="4">
                  <c:v>Rock Island</c:v>
                </c:pt>
                <c:pt idx="5">
                  <c:v>Sangamon</c:v>
                </c:pt>
                <c:pt idx="6">
                  <c:v>Vermilion</c:v>
                </c:pt>
              </c:strCache>
            </c:strRef>
          </c:cat>
          <c:val>
            <c:numRef>
              <c:f>'Disparity ratio'!$B$92:$H$92</c:f>
              <c:numCache>
                <c:formatCode>0.00%</c:formatCode>
                <c:ptCount val="7"/>
                <c:pt idx="0">
                  <c:v>4.1533136777336284E-2</c:v>
                </c:pt>
                <c:pt idx="1">
                  <c:v>3.0323115161557602E-2</c:v>
                </c:pt>
                <c:pt idx="2">
                  <c:v>3.4983750716880146E-2</c:v>
                </c:pt>
                <c:pt idx="3">
                  <c:v>4.0568735028204926E-2</c:v>
                </c:pt>
                <c:pt idx="4">
                  <c:v>3.8942976356050069E-2</c:v>
                </c:pt>
                <c:pt idx="5">
                  <c:v>3.0726897500573336E-2</c:v>
                </c:pt>
                <c:pt idx="6">
                  <c:v>4.2132982225148295E-2</c:v>
                </c:pt>
              </c:numCache>
            </c:numRef>
          </c:val>
        </c:ser>
        <c:ser>
          <c:idx val="1"/>
          <c:order val="1"/>
          <c:tx>
            <c:strRef>
              <c:f>'Disparity ratio'!$A$93</c:f>
              <c:strCache>
                <c:ptCount val="1"/>
                <c:pt idx="0">
                  <c:v>Caucasian</c:v>
                </c:pt>
              </c:strCache>
            </c:strRef>
          </c:tx>
          <c:invertIfNegative val="0"/>
          <c:cat>
            <c:strRef>
              <c:f>'Disparity ratio'!$B$2:$H$2</c:f>
              <c:strCache>
                <c:ptCount val="7"/>
                <c:pt idx="0">
                  <c:v>Champaign</c:v>
                </c:pt>
                <c:pt idx="1">
                  <c:v>Macon</c:v>
                </c:pt>
                <c:pt idx="2">
                  <c:v>McLean</c:v>
                </c:pt>
                <c:pt idx="3">
                  <c:v>Peoria</c:v>
                </c:pt>
                <c:pt idx="4">
                  <c:v>Rock Island</c:v>
                </c:pt>
                <c:pt idx="5">
                  <c:v>Sangamon</c:v>
                </c:pt>
                <c:pt idx="6">
                  <c:v>Vermilion</c:v>
                </c:pt>
              </c:strCache>
            </c:strRef>
          </c:cat>
          <c:val>
            <c:numRef>
              <c:f>'Disparity ratio'!$B$93:$H$93</c:f>
              <c:numCache>
                <c:formatCode>0.00%</c:formatCode>
                <c:ptCount val="7"/>
                <c:pt idx="0">
                  <c:v>7.6886493341788448E-3</c:v>
                </c:pt>
                <c:pt idx="1">
                  <c:v>1.1804666184085977E-2</c:v>
                </c:pt>
                <c:pt idx="2">
                  <c:v>6.4313628950364932E-3</c:v>
                </c:pt>
                <c:pt idx="3">
                  <c:v>1.026603377856276E-2</c:v>
                </c:pt>
                <c:pt idx="4">
                  <c:v>8.3512590155637462E-3</c:v>
                </c:pt>
                <c:pt idx="5">
                  <c:v>5.1192680535889446E-3</c:v>
                </c:pt>
                <c:pt idx="6">
                  <c:v>9.4980587909040508E-3</c:v>
                </c:pt>
              </c:numCache>
            </c:numRef>
          </c:val>
        </c:ser>
        <c:dLbls>
          <c:showLegendKey val="0"/>
          <c:showVal val="0"/>
          <c:showCatName val="0"/>
          <c:showSerName val="0"/>
          <c:showPercent val="0"/>
          <c:showBubbleSize val="0"/>
        </c:dLbls>
        <c:gapWidth val="150"/>
        <c:axId val="83498880"/>
        <c:axId val="83500416"/>
      </c:barChart>
      <c:catAx>
        <c:axId val="83498880"/>
        <c:scaling>
          <c:orientation val="minMax"/>
        </c:scaling>
        <c:delete val="0"/>
        <c:axPos val="b"/>
        <c:majorTickMark val="out"/>
        <c:minorTickMark val="none"/>
        <c:tickLblPos val="nextTo"/>
        <c:txPr>
          <a:bodyPr/>
          <a:lstStyle/>
          <a:p>
            <a:pPr>
              <a:defRPr>
                <a:latin typeface="Arial" pitchFamily="34" charset="0"/>
                <a:cs typeface="Arial" pitchFamily="34" charset="0"/>
              </a:defRPr>
            </a:pPr>
            <a:endParaRPr lang="en-US"/>
          </a:p>
        </c:txPr>
        <c:crossAx val="83500416"/>
        <c:crosses val="autoZero"/>
        <c:auto val="1"/>
        <c:lblAlgn val="ctr"/>
        <c:lblOffset val="100"/>
        <c:noMultiLvlLbl val="0"/>
      </c:catAx>
      <c:valAx>
        <c:axId val="83500416"/>
        <c:scaling>
          <c:orientation val="minMax"/>
          <c:max val="0.5"/>
        </c:scaling>
        <c:delete val="0"/>
        <c:axPos val="l"/>
        <c:majorGridlines/>
        <c:numFmt formatCode="0%" sourceLinked="0"/>
        <c:majorTickMark val="out"/>
        <c:minorTickMark val="none"/>
        <c:tickLblPos val="nextTo"/>
        <c:txPr>
          <a:bodyPr/>
          <a:lstStyle/>
          <a:p>
            <a:pPr>
              <a:defRPr>
                <a:latin typeface="Arial" pitchFamily="34" charset="0"/>
                <a:cs typeface="Arial" pitchFamily="34" charset="0"/>
              </a:defRPr>
            </a:pPr>
            <a:endParaRPr lang="en-US"/>
          </a:p>
        </c:txPr>
        <c:crossAx val="83498880"/>
        <c:crosses val="autoZero"/>
        <c:crossBetween val="between"/>
        <c:majorUnit val="0.1"/>
      </c:valAx>
    </c:plotArea>
    <c:legend>
      <c:legendPos val="r"/>
      <c:layout>
        <c:manualLayout>
          <c:xMode val="edge"/>
          <c:yMode val="edge"/>
          <c:x val="0"/>
          <c:y val="0.93943104768153995"/>
          <c:w val="0.40122083697871097"/>
          <c:h val="5.6323272090988613E-2"/>
        </c:manualLayout>
      </c:layout>
      <c:overlay val="0"/>
    </c:legend>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344685039370137"/>
          <c:y val="0.11817168338907469"/>
          <c:w val="0.71935323709536314"/>
          <c:h val="0.74697688708643861"/>
        </c:manualLayout>
      </c:layout>
      <c:barChart>
        <c:barDir val="bar"/>
        <c:grouping val="clustered"/>
        <c:varyColors val="0"/>
        <c:ser>
          <c:idx val="0"/>
          <c:order val="0"/>
          <c:tx>
            <c:strRef>
              <c:f>'Percent of population vs care'!$A$3</c:f>
              <c:strCache>
                <c:ptCount val="1"/>
                <c:pt idx="0">
                  <c:v>Caucasian In Care</c:v>
                </c:pt>
              </c:strCache>
            </c:strRef>
          </c:tx>
          <c:spPr>
            <a:solidFill>
              <a:schemeClr val="accent2">
                <a:lumMod val="60000"/>
                <a:lumOff val="40000"/>
              </a:schemeClr>
            </a:solidFill>
          </c:spPr>
          <c:invertIfNegative val="0"/>
          <c:cat>
            <c:strRef>
              <c:f>'Percent of population vs care'!$B$2:$H$2</c:f>
              <c:strCache>
                <c:ptCount val="7"/>
                <c:pt idx="0">
                  <c:v>Vermilion</c:v>
                </c:pt>
                <c:pt idx="1">
                  <c:v>Sangamon</c:v>
                </c:pt>
                <c:pt idx="2">
                  <c:v>Rock Island</c:v>
                </c:pt>
                <c:pt idx="3">
                  <c:v>Peoria</c:v>
                </c:pt>
                <c:pt idx="4">
                  <c:v>McLean</c:v>
                </c:pt>
                <c:pt idx="5">
                  <c:v>Macon</c:v>
                </c:pt>
                <c:pt idx="6">
                  <c:v>Champaign</c:v>
                </c:pt>
              </c:strCache>
            </c:strRef>
          </c:cat>
          <c:val>
            <c:numRef>
              <c:f>'Percent of population vs care'!$B$3:$H$3</c:f>
              <c:numCache>
                <c:formatCode>0%</c:formatCode>
                <c:ptCount val="7"/>
                <c:pt idx="0">
                  <c:v>0.51310861423220977</c:v>
                </c:pt>
                <c:pt idx="1">
                  <c:v>0.40430107526881798</c:v>
                </c:pt>
                <c:pt idx="2">
                  <c:v>0.54246575342465753</c:v>
                </c:pt>
                <c:pt idx="3">
                  <c:v>0.33096085409252735</c:v>
                </c:pt>
                <c:pt idx="4">
                  <c:v>0.52249999999999996</c:v>
                </c:pt>
                <c:pt idx="5">
                  <c:v>0.52736318407960037</c:v>
                </c:pt>
                <c:pt idx="6">
                  <c:v>0.36261682242990717</c:v>
                </c:pt>
              </c:numCache>
            </c:numRef>
          </c:val>
        </c:ser>
        <c:ser>
          <c:idx val="1"/>
          <c:order val="1"/>
          <c:tx>
            <c:strRef>
              <c:f>'Percent of population vs care'!$A$4</c:f>
              <c:strCache>
                <c:ptCount val="1"/>
                <c:pt idx="0">
                  <c:v>Caucasian in Population</c:v>
                </c:pt>
              </c:strCache>
            </c:strRef>
          </c:tx>
          <c:spPr>
            <a:solidFill>
              <a:schemeClr val="accent2"/>
            </a:solidFill>
          </c:spPr>
          <c:invertIfNegative val="0"/>
          <c:cat>
            <c:strRef>
              <c:f>'Percent of population vs care'!$B$2:$H$2</c:f>
              <c:strCache>
                <c:ptCount val="7"/>
                <c:pt idx="0">
                  <c:v>Vermilion</c:v>
                </c:pt>
                <c:pt idx="1">
                  <c:v>Sangamon</c:v>
                </c:pt>
                <c:pt idx="2">
                  <c:v>Rock Island</c:v>
                </c:pt>
                <c:pt idx="3">
                  <c:v>Peoria</c:v>
                </c:pt>
                <c:pt idx="4">
                  <c:v>McLean</c:v>
                </c:pt>
                <c:pt idx="5">
                  <c:v>Macon</c:v>
                </c:pt>
                <c:pt idx="6">
                  <c:v>Champaign</c:v>
                </c:pt>
              </c:strCache>
            </c:strRef>
          </c:cat>
          <c:val>
            <c:numRef>
              <c:f>'Percent of population vs care'!$B$4:$H$4</c:f>
              <c:numCache>
                <c:formatCode>0%</c:formatCode>
                <c:ptCount val="7"/>
                <c:pt idx="0">
                  <c:v>0.7317370129870141</c:v>
                </c:pt>
                <c:pt idx="1">
                  <c:v>0.78606134549112749</c:v>
                </c:pt>
                <c:pt idx="2">
                  <c:v>0.68103869244247983</c:v>
                </c:pt>
                <c:pt idx="3">
                  <c:v>0.64328828082467393</c:v>
                </c:pt>
                <c:pt idx="4">
                  <c:v>0.78727167013905763</c:v>
                </c:pt>
                <c:pt idx="5">
                  <c:v>0.73233291196020056</c:v>
                </c:pt>
                <c:pt idx="6">
                  <c:v>0.71154225769154955</c:v>
                </c:pt>
              </c:numCache>
            </c:numRef>
          </c:val>
        </c:ser>
        <c:ser>
          <c:idx val="2"/>
          <c:order val="2"/>
          <c:tx>
            <c:strRef>
              <c:f>'Percent of population vs care'!$A$5</c:f>
              <c:strCache>
                <c:ptCount val="1"/>
              </c:strCache>
            </c:strRef>
          </c:tx>
          <c:invertIfNegative val="0"/>
          <c:cat>
            <c:strRef>
              <c:f>'Percent of population vs care'!$B$2:$H$2</c:f>
              <c:strCache>
                <c:ptCount val="7"/>
                <c:pt idx="0">
                  <c:v>Vermilion</c:v>
                </c:pt>
                <c:pt idx="1">
                  <c:v>Sangamon</c:v>
                </c:pt>
                <c:pt idx="2">
                  <c:v>Rock Island</c:v>
                </c:pt>
                <c:pt idx="3">
                  <c:v>Peoria</c:v>
                </c:pt>
                <c:pt idx="4">
                  <c:v>McLean</c:v>
                </c:pt>
                <c:pt idx="5">
                  <c:v>Macon</c:v>
                </c:pt>
                <c:pt idx="6">
                  <c:v>Champaign</c:v>
                </c:pt>
              </c:strCache>
            </c:strRef>
          </c:cat>
          <c:val>
            <c:numRef>
              <c:f>'Percent of population vs care'!$B$5:$H$5</c:f>
              <c:numCache>
                <c:formatCode>General</c:formatCode>
                <c:ptCount val="7"/>
              </c:numCache>
            </c:numRef>
          </c:val>
        </c:ser>
        <c:ser>
          <c:idx val="3"/>
          <c:order val="3"/>
          <c:tx>
            <c:strRef>
              <c:f>'Percent of population vs care'!$A$6</c:f>
              <c:strCache>
                <c:ptCount val="1"/>
                <c:pt idx="0">
                  <c:v>African American In Care</c:v>
                </c:pt>
              </c:strCache>
            </c:strRef>
          </c:tx>
          <c:spPr>
            <a:solidFill>
              <a:schemeClr val="accent1">
                <a:lumMod val="60000"/>
                <a:lumOff val="40000"/>
              </a:schemeClr>
            </a:solidFill>
          </c:spPr>
          <c:invertIfNegative val="0"/>
          <c:cat>
            <c:strRef>
              <c:f>'Percent of population vs care'!$B$2:$H$2</c:f>
              <c:strCache>
                <c:ptCount val="7"/>
                <c:pt idx="0">
                  <c:v>Vermilion</c:v>
                </c:pt>
                <c:pt idx="1">
                  <c:v>Sangamon</c:v>
                </c:pt>
                <c:pt idx="2">
                  <c:v>Rock Island</c:v>
                </c:pt>
                <c:pt idx="3">
                  <c:v>Peoria</c:v>
                </c:pt>
                <c:pt idx="4">
                  <c:v>McLean</c:v>
                </c:pt>
                <c:pt idx="5">
                  <c:v>Macon</c:v>
                </c:pt>
                <c:pt idx="6">
                  <c:v>Champaign</c:v>
                </c:pt>
              </c:strCache>
            </c:strRef>
          </c:cat>
          <c:val>
            <c:numRef>
              <c:f>'Percent of population vs care'!$B$6:$H$6</c:f>
              <c:numCache>
                <c:formatCode>0%</c:formatCode>
                <c:ptCount val="7"/>
                <c:pt idx="0">
                  <c:v>0.47940074906367125</c:v>
                </c:pt>
                <c:pt idx="1">
                  <c:v>0.57634408602150644</c:v>
                </c:pt>
                <c:pt idx="2">
                  <c:v>0.38356164383561725</c:v>
                </c:pt>
                <c:pt idx="3">
                  <c:v>0.62277580071174465</c:v>
                </c:pt>
                <c:pt idx="4">
                  <c:v>0.45750000000000002</c:v>
                </c:pt>
                <c:pt idx="5">
                  <c:v>0.45522388059701491</c:v>
                </c:pt>
                <c:pt idx="6">
                  <c:v>0.60560747663551695</c:v>
                </c:pt>
              </c:numCache>
            </c:numRef>
          </c:val>
        </c:ser>
        <c:ser>
          <c:idx val="4"/>
          <c:order val="4"/>
          <c:tx>
            <c:strRef>
              <c:f>'Percent of population vs care'!$A$7</c:f>
              <c:strCache>
                <c:ptCount val="1"/>
                <c:pt idx="0">
                  <c:v>African American In Population</c:v>
                </c:pt>
              </c:strCache>
            </c:strRef>
          </c:tx>
          <c:spPr>
            <a:solidFill>
              <a:schemeClr val="accent1">
                <a:lumMod val="75000"/>
              </a:schemeClr>
            </a:solidFill>
          </c:spPr>
          <c:invertIfNegative val="0"/>
          <c:cat>
            <c:strRef>
              <c:f>'Percent of population vs care'!$B$2:$H$2</c:f>
              <c:strCache>
                <c:ptCount val="7"/>
                <c:pt idx="0">
                  <c:v>Vermilion</c:v>
                </c:pt>
                <c:pt idx="1">
                  <c:v>Sangamon</c:v>
                </c:pt>
                <c:pt idx="2">
                  <c:v>Rock Island</c:v>
                </c:pt>
                <c:pt idx="3">
                  <c:v>Peoria</c:v>
                </c:pt>
                <c:pt idx="4">
                  <c:v>McLean</c:v>
                </c:pt>
                <c:pt idx="5">
                  <c:v>Macon</c:v>
                </c:pt>
                <c:pt idx="6">
                  <c:v>Champaign</c:v>
                </c:pt>
              </c:strCache>
            </c:strRef>
          </c:cat>
          <c:val>
            <c:numRef>
              <c:f>'Percent of population vs care'!$B$7:$H$7</c:f>
              <c:numCache>
                <c:formatCode>0%</c:formatCode>
                <c:ptCount val="7"/>
                <c:pt idx="0">
                  <c:v>0.15411931818181854</c:v>
                </c:pt>
                <c:pt idx="1">
                  <c:v>0.18669063978252995</c:v>
                </c:pt>
                <c:pt idx="2">
                  <c:v>0.10326602131387719</c:v>
                </c:pt>
                <c:pt idx="3">
                  <c:v>0.30631760835089</c:v>
                </c:pt>
                <c:pt idx="4">
                  <c:v>0.1267261010707883</c:v>
                </c:pt>
                <c:pt idx="5">
                  <c:v>0.24609550218162576</c:v>
                </c:pt>
                <c:pt idx="6">
                  <c:v>0.21998815600236946</c:v>
                </c:pt>
              </c:numCache>
            </c:numRef>
          </c:val>
        </c:ser>
        <c:dLbls>
          <c:showLegendKey val="0"/>
          <c:showVal val="0"/>
          <c:showCatName val="0"/>
          <c:showSerName val="0"/>
          <c:showPercent val="0"/>
          <c:showBubbleSize val="0"/>
        </c:dLbls>
        <c:gapWidth val="150"/>
        <c:axId val="83536512"/>
        <c:axId val="83546496"/>
      </c:barChart>
      <c:catAx>
        <c:axId val="83536512"/>
        <c:scaling>
          <c:orientation val="minMax"/>
        </c:scaling>
        <c:delete val="0"/>
        <c:axPos val="l"/>
        <c:majorTickMark val="out"/>
        <c:minorTickMark val="none"/>
        <c:tickLblPos val="nextTo"/>
        <c:crossAx val="83546496"/>
        <c:crosses val="autoZero"/>
        <c:auto val="1"/>
        <c:lblAlgn val="ctr"/>
        <c:lblOffset val="100"/>
        <c:noMultiLvlLbl val="0"/>
      </c:catAx>
      <c:valAx>
        <c:axId val="83546496"/>
        <c:scaling>
          <c:orientation val="minMax"/>
        </c:scaling>
        <c:delete val="0"/>
        <c:axPos val="b"/>
        <c:majorGridlines/>
        <c:numFmt formatCode="0%" sourceLinked="1"/>
        <c:majorTickMark val="out"/>
        <c:minorTickMark val="none"/>
        <c:tickLblPos val="nextTo"/>
        <c:crossAx val="83536512"/>
        <c:crosses val="autoZero"/>
        <c:crossBetween val="between"/>
      </c:valAx>
    </c:plotArea>
    <c:legend>
      <c:legendPos val="r"/>
      <c:legendEntry>
        <c:idx val="2"/>
        <c:delete val="1"/>
      </c:legendEntry>
      <c:layout>
        <c:manualLayout>
          <c:xMode val="edge"/>
          <c:yMode val="edge"/>
          <c:x val="1.1626421697287934E-2"/>
          <c:y val="0.92289486389452347"/>
          <c:w val="0.9633735783027122"/>
          <c:h val="7.5057540884312532E-2"/>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a:t>Northern</a:t>
            </a:r>
            <a:r>
              <a:rPr lang="en-US" sz="1200" baseline="0"/>
              <a:t> Region</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1" i="0" baseline="0"/>
              <a:t>Foster Care Entry by Race/Ethnicity</a:t>
            </a:r>
            <a:endParaRPr lang="en-US" sz="1200"/>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baseline="0"/>
              <a:t> </a:t>
            </a:r>
            <a:endParaRPr lang="en-US"/>
          </a:p>
        </c:rich>
      </c:tx>
      <c:layout>
        <c:manualLayout>
          <c:xMode val="edge"/>
          <c:yMode val="edge"/>
          <c:x val="0.28268734136697932"/>
          <c:y val="4.3253957544093519E-3"/>
        </c:manualLayout>
      </c:layout>
      <c:overlay val="0"/>
    </c:title>
    <c:autoTitleDeleted val="0"/>
    <c:plotArea>
      <c:layout>
        <c:manualLayout>
          <c:layoutTarget val="inner"/>
          <c:xMode val="edge"/>
          <c:yMode val="edge"/>
          <c:x val="0.12966338582677212"/>
          <c:y val="0.21014184790490445"/>
          <c:w val="0.82186768727287662"/>
          <c:h val="0.55717052740468065"/>
        </c:manualLayout>
      </c:layout>
      <c:lineChart>
        <c:grouping val="standard"/>
        <c:varyColors val="0"/>
        <c:ser>
          <c:idx val="0"/>
          <c:order val="0"/>
          <c:tx>
            <c:strRef>
              <c:f>Sheet1!$A$12</c:f>
              <c:strCache>
                <c:ptCount val="1"/>
                <c:pt idx="0">
                  <c:v>African American</c:v>
                </c:pt>
              </c:strCache>
            </c:strRef>
          </c:tx>
          <c:cat>
            <c:numRef>
              <c:f>Sheet1!$B$11:$K$11</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Sheet1!$B$12:$K$12</c:f>
              <c:numCache>
                <c:formatCode>0</c:formatCode>
                <c:ptCount val="10"/>
                <c:pt idx="0">
                  <c:v>335</c:v>
                </c:pt>
                <c:pt idx="1">
                  <c:v>291</c:v>
                </c:pt>
                <c:pt idx="2">
                  <c:v>305</c:v>
                </c:pt>
                <c:pt idx="3">
                  <c:v>316</c:v>
                </c:pt>
                <c:pt idx="4">
                  <c:v>399</c:v>
                </c:pt>
                <c:pt idx="5">
                  <c:v>378</c:v>
                </c:pt>
                <c:pt idx="6" formatCode="General">
                  <c:v>299</c:v>
                </c:pt>
                <c:pt idx="7">
                  <c:v>351</c:v>
                </c:pt>
                <c:pt idx="8">
                  <c:v>402</c:v>
                </c:pt>
                <c:pt idx="9" formatCode="General">
                  <c:v>348</c:v>
                </c:pt>
              </c:numCache>
            </c:numRef>
          </c:val>
          <c:smooth val="0"/>
        </c:ser>
        <c:ser>
          <c:idx val="1"/>
          <c:order val="1"/>
          <c:tx>
            <c:strRef>
              <c:f>Sheet1!$A$13</c:f>
              <c:strCache>
                <c:ptCount val="1"/>
                <c:pt idx="0">
                  <c:v>Caucasian</c:v>
                </c:pt>
              </c:strCache>
            </c:strRef>
          </c:tx>
          <c:cat>
            <c:numRef>
              <c:f>Sheet1!$B$11:$K$11</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Sheet1!$B$13:$K$13</c:f>
              <c:numCache>
                <c:formatCode>0</c:formatCode>
                <c:ptCount val="10"/>
                <c:pt idx="0">
                  <c:v>406</c:v>
                </c:pt>
                <c:pt idx="1">
                  <c:v>423</c:v>
                </c:pt>
                <c:pt idx="2">
                  <c:v>334</c:v>
                </c:pt>
                <c:pt idx="3">
                  <c:v>430</c:v>
                </c:pt>
                <c:pt idx="4">
                  <c:v>377</c:v>
                </c:pt>
                <c:pt idx="5">
                  <c:v>445</c:v>
                </c:pt>
                <c:pt idx="6" formatCode="General">
                  <c:v>372</c:v>
                </c:pt>
                <c:pt idx="7">
                  <c:v>497</c:v>
                </c:pt>
                <c:pt idx="8">
                  <c:v>522</c:v>
                </c:pt>
                <c:pt idx="9" formatCode="General">
                  <c:v>496</c:v>
                </c:pt>
              </c:numCache>
            </c:numRef>
          </c:val>
          <c:smooth val="0"/>
        </c:ser>
        <c:ser>
          <c:idx val="2"/>
          <c:order val="2"/>
          <c:tx>
            <c:strRef>
              <c:f>Sheet1!$A$14</c:f>
              <c:strCache>
                <c:ptCount val="1"/>
                <c:pt idx="0">
                  <c:v>Hispanic</c:v>
                </c:pt>
              </c:strCache>
            </c:strRef>
          </c:tx>
          <c:cat>
            <c:numRef>
              <c:f>Sheet1!$B$11:$K$11</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Sheet1!$B$14:$K$14</c:f>
              <c:numCache>
                <c:formatCode>0</c:formatCode>
                <c:ptCount val="10"/>
                <c:pt idx="0">
                  <c:v>67</c:v>
                </c:pt>
                <c:pt idx="1">
                  <c:v>95</c:v>
                </c:pt>
                <c:pt idx="2">
                  <c:v>67</c:v>
                </c:pt>
                <c:pt idx="3">
                  <c:v>60</c:v>
                </c:pt>
                <c:pt idx="4">
                  <c:v>85</c:v>
                </c:pt>
                <c:pt idx="5">
                  <c:v>51</c:v>
                </c:pt>
                <c:pt idx="6" formatCode="General">
                  <c:v>66</c:v>
                </c:pt>
                <c:pt idx="7" formatCode="General">
                  <c:v>101</c:v>
                </c:pt>
                <c:pt idx="8" formatCode="General">
                  <c:v>112</c:v>
                </c:pt>
                <c:pt idx="9" formatCode="General">
                  <c:v>64</c:v>
                </c:pt>
              </c:numCache>
            </c:numRef>
          </c:val>
          <c:smooth val="0"/>
        </c:ser>
        <c:ser>
          <c:idx val="3"/>
          <c:order val="3"/>
          <c:tx>
            <c:strRef>
              <c:f>Sheet1!$A$15</c:f>
              <c:strCache>
                <c:ptCount val="1"/>
                <c:pt idx="0">
                  <c:v>Other</c:v>
                </c:pt>
              </c:strCache>
            </c:strRef>
          </c:tx>
          <c:cat>
            <c:numRef>
              <c:f>Sheet1!$B$11:$K$11</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Sheet1!$B$15:$K$15</c:f>
              <c:numCache>
                <c:formatCode>0</c:formatCode>
                <c:ptCount val="10"/>
                <c:pt idx="0">
                  <c:v>62</c:v>
                </c:pt>
                <c:pt idx="1">
                  <c:v>45</c:v>
                </c:pt>
                <c:pt idx="2">
                  <c:v>48</c:v>
                </c:pt>
                <c:pt idx="3">
                  <c:v>24</c:v>
                </c:pt>
                <c:pt idx="4">
                  <c:v>37</c:v>
                </c:pt>
                <c:pt idx="5">
                  <c:v>33</c:v>
                </c:pt>
                <c:pt idx="6" formatCode="General">
                  <c:v>20</c:v>
                </c:pt>
                <c:pt idx="7" formatCode="General">
                  <c:v>36</c:v>
                </c:pt>
                <c:pt idx="8" formatCode="General">
                  <c:v>47</c:v>
                </c:pt>
                <c:pt idx="9" formatCode="General">
                  <c:v>38</c:v>
                </c:pt>
              </c:numCache>
            </c:numRef>
          </c:val>
          <c:smooth val="0"/>
        </c:ser>
        <c:dLbls>
          <c:showLegendKey val="0"/>
          <c:showVal val="0"/>
          <c:showCatName val="0"/>
          <c:showSerName val="0"/>
          <c:showPercent val="0"/>
          <c:showBubbleSize val="0"/>
        </c:dLbls>
        <c:marker val="1"/>
        <c:smooth val="0"/>
        <c:axId val="33744000"/>
        <c:axId val="33745536"/>
      </c:lineChart>
      <c:catAx>
        <c:axId val="33744000"/>
        <c:scaling>
          <c:orientation val="minMax"/>
        </c:scaling>
        <c:delete val="0"/>
        <c:axPos val="b"/>
        <c:numFmt formatCode="0" sourceLinked="1"/>
        <c:majorTickMark val="out"/>
        <c:minorTickMark val="none"/>
        <c:tickLblPos val="nextTo"/>
        <c:crossAx val="33745536"/>
        <c:crosses val="autoZero"/>
        <c:auto val="1"/>
        <c:lblAlgn val="ctr"/>
        <c:lblOffset val="100"/>
        <c:noMultiLvlLbl val="0"/>
      </c:catAx>
      <c:valAx>
        <c:axId val="33745536"/>
        <c:scaling>
          <c:orientation val="minMax"/>
        </c:scaling>
        <c:delete val="0"/>
        <c:axPos val="l"/>
        <c:majorGridlines/>
        <c:numFmt formatCode="0" sourceLinked="1"/>
        <c:majorTickMark val="out"/>
        <c:minorTickMark val="none"/>
        <c:tickLblPos val="nextTo"/>
        <c:crossAx val="33744000"/>
        <c:crosses val="autoZero"/>
        <c:crossBetween val="between"/>
      </c:valAx>
    </c:plotArea>
    <c:legend>
      <c:legendPos val="r"/>
      <c:layout>
        <c:manualLayout>
          <c:xMode val="edge"/>
          <c:yMode val="edge"/>
          <c:x val="0.12790258658828391"/>
          <c:y val="0.91701266557905747"/>
          <c:w val="0.82765288713910945"/>
          <c:h val="8.2987334420942582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baseline="0"/>
              <a:t>Southern Region</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Foster Care Entry by Race/Ethnicity</a:t>
            </a:r>
            <a:endParaRPr lang="en-US"/>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baseline="0"/>
              <a:t> </a:t>
            </a:r>
            <a:endParaRPr lang="en-US"/>
          </a:p>
        </c:rich>
      </c:tx>
      <c:layout>
        <c:manualLayout>
          <c:xMode val="edge"/>
          <c:yMode val="edge"/>
          <c:x val="0.12737489063866972"/>
          <c:y val="2.2598863354282194E-2"/>
        </c:manualLayout>
      </c:layout>
      <c:overlay val="0"/>
    </c:title>
    <c:autoTitleDeleted val="0"/>
    <c:plotArea>
      <c:layout>
        <c:manualLayout>
          <c:layoutTarget val="inner"/>
          <c:xMode val="edge"/>
          <c:yMode val="edge"/>
          <c:x val="0.12966338582677212"/>
          <c:y val="0.21014184790490445"/>
          <c:w val="0.8543309273840789"/>
          <c:h val="0.55717052740468065"/>
        </c:manualLayout>
      </c:layout>
      <c:lineChart>
        <c:grouping val="standard"/>
        <c:varyColors val="0"/>
        <c:ser>
          <c:idx val="0"/>
          <c:order val="0"/>
          <c:tx>
            <c:strRef>
              <c:f>Sheet1!$A$19</c:f>
              <c:strCache>
                <c:ptCount val="1"/>
                <c:pt idx="0">
                  <c:v>African American</c:v>
                </c:pt>
              </c:strCache>
            </c:strRef>
          </c:tx>
          <c:cat>
            <c:numRef>
              <c:f>Sheet1!$B$18:$K$18</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Sheet1!$B$19:$K$19</c:f>
              <c:numCache>
                <c:formatCode>0</c:formatCode>
                <c:ptCount val="10"/>
                <c:pt idx="0">
                  <c:v>207</c:v>
                </c:pt>
                <c:pt idx="1">
                  <c:v>158</c:v>
                </c:pt>
                <c:pt idx="2">
                  <c:v>194</c:v>
                </c:pt>
                <c:pt idx="3">
                  <c:v>183</c:v>
                </c:pt>
                <c:pt idx="4">
                  <c:v>225</c:v>
                </c:pt>
                <c:pt idx="5">
                  <c:v>218</c:v>
                </c:pt>
                <c:pt idx="6" formatCode="General">
                  <c:v>223</c:v>
                </c:pt>
                <c:pt idx="7" formatCode="General">
                  <c:v>191</c:v>
                </c:pt>
                <c:pt idx="8" formatCode="General">
                  <c:v>196</c:v>
                </c:pt>
                <c:pt idx="9" formatCode="General">
                  <c:v>207</c:v>
                </c:pt>
              </c:numCache>
            </c:numRef>
          </c:val>
          <c:smooth val="0"/>
        </c:ser>
        <c:ser>
          <c:idx val="1"/>
          <c:order val="1"/>
          <c:tx>
            <c:strRef>
              <c:f>Sheet1!$A$20</c:f>
              <c:strCache>
                <c:ptCount val="1"/>
                <c:pt idx="0">
                  <c:v>Caucasian</c:v>
                </c:pt>
              </c:strCache>
            </c:strRef>
          </c:tx>
          <c:cat>
            <c:numRef>
              <c:f>Sheet1!$B$18:$K$18</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Sheet1!$B$20:$K$20</c:f>
              <c:numCache>
                <c:formatCode>0</c:formatCode>
                <c:ptCount val="10"/>
                <c:pt idx="0">
                  <c:v>423</c:v>
                </c:pt>
                <c:pt idx="1">
                  <c:v>466</c:v>
                </c:pt>
                <c:pt idx="2">
                  <c:v>448</c:v>
                </c:pt>
                <c:pt idx="3">
                  <c:v>546</c:v>
                </c:pt>
                <c:pt idx="4">
                  <c:v>562</c:v>
                </c:pt>
                <c:pt idx="5">
                  <c:v>581</c:v>
                </c:pt>
                <c:pt idx="6" formatCode="General">
                  <c:v>514</c:v>
                </c:pt>
                <c:pt idx="7" formatCode="General">
                  <c:v>582</c:v>
                </c:pt>
                <c:pt idx="8" formatCode="General">
                  <c:v>591</c:v>
                </c:pt>
                <c:pt idx="9" formatCode="General">
                  <c:v>670</c:v>
                </c:pt>
              </c:numCache>
            </c:numRef>
          </c:val>
          <c:smooth val="0"/>
        </c:ser>
        <c:ser>
          <c:idx val="2"/>
          <c:order val="2"/>
          <c:tx>
            <c:strRef>
              <c:f>Sheet1!$A$21</c:f>
              <c:strCache>
                <c:ptCount val="1"/>
                <c:pt idx="0">
                  <c:v>Hispanic</c:v>
                </c:pt>
              </c:strCache>
            </c:strRef>
          </c:tx>
          <c:cat>
            <c:numRef>
              <c:f>Sheet1!$B$18:$K$18</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Sheet1!$B$21:$K$21</c:f>
              <c:numCache>
                <c:formatCode>0</c:formatCode>
                <c:ptCount val="10"/>
                <c:pt idx="0">
                  <c:v>10</c:v>
                </c:pt>
                <c:pt idx="1">
                  <c:v>2</c:v>
                </c:pt>
                <c:pt idx="2">
                  <c:v>3</c:v>
                </c:pt>
                <c:pt idx="3">
                  <c:v>1</c:v>
                </c:pt>
                <c:pt idx="4">
                  <c:v>3</c:v>
                </c:pt>
                <c:pt idx="5">
                  <c:v>5</c:v>
                </c:pt>
                <c:pt idx="6" formatCode="General">
                  <c:v>9</c:v>
                </c:pt>
                <c:pt idx="7" formatCode="General">
                  <c:v>22</c:v>
                </c:pt>
                <c:pt idx="8" formatCode="General">
                  <c:v>10</c:v>
                </c:pt>
                <c:pt idx="9" formatCode="General">
                  <c:v>16</c:v>
                </c:pt>
              </c:numCache>
            </c:numRef>
          </c:val>
          <c:smooth val="0"/>
        </c:ser>
        <c:ser>
          <c:idx val="3"/>
          <c:order val="3"/>
          <c:tx>
            <c:strRef>
              <c:f>Sheet1!$A$22</c:f>
              <c:strCache>
                <c:ptCount val="1"/>
                <c:pt idx="0">
                  <c:v>Other</c:v>
                </c:pt>
              </c:strCache>
            </c:strRef>
          </c:tx>
          <c:cat>
            <c:numRef>
              <c:f>Sheet1!$B$18:$K$18</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Sheet1!$B$22:$K$22</c:f>
              <c:numCache>
                <c:formatCode>0</c:formatCode>
                <c:ptCount val="10"/>
                <c:pt idx="0">
                  <c:v>23</c:v>
                </c:pt>
                <c:pt idx="1">
                  <c:v>16</c:v>
                </c:pt>
                <c:pt idx="2">
                  <c:v>5</c:v>
                </c:pt>
                <c:pt idx="3">
                  <c:v>7</c:v>
                </c:pt>
                <c:pt idx="4">
                  <c:v>7</c:v>
                </c:pt>
                <c:pt idx="5">
                  <c:v>6</c:v>
                </c:pt>
                <c:pt idx="6" formatCode="General">
                  <c:v>10</c:v>
                </c:pt>
                <c:pt idx="7" formatCode="General">
                  <c:v>13</c:v>
                </c:pt>
                <c:pt idx="8" formatCode="General">
                  <c:v>9</c:v>
                </c:pt>
                <c:pt idx="9" formatCode="General">
                  <c:v>24</c:v>
                </c:pt>
              </c:numCache>
            </c:numRef>
          </c:val>
          <c:smooth val="0"/>
        </c:ser>
        <c:dLbls>
          <c:showLegendKey val="0"/>
          <c:showVal val="0"/>
          <c:showCatName val="0"/>
          <c:showSerName val="0"/>
          <c:showPercent val="0"/>
          <c:showBubbleSize val="0"/>
        </c:dLbls>
        <c:marker val="1"/>
        <c:smooth val="0"/>
        <c:axId val="81220736"/>
        <c:axId val="81222272"/>
      </c:lineChart>
      <c:catAx>
        <c:axId val="81220736"/>
        <c:scaling>
          <c:orientation val="minMax"/>
        </c:scaling>
        <c:delete val="0"/>
        <c:axPos val="b"/>
        <c:numFmt formatCode="0" sourceLinked="1"/>
        <c:majorTickMark val="out"/>
        <c:minorTickMark val="none"/>
        <c:tickLblPos val="nextTo"/>
        <c:crossAx val="81222272"/>
        <c:crosses val="autoZero"/>
        <c:auto val="1"/>
        <c:lblAlgn val="ctr"/>
        <c:lblOffset val="100"/>
        <c:noMultiLvlLbl val="0"/>
      </c:catAx>
      <c:valAx>
        <c:axId val="81222272"/>
        <c:scaling>
          <c:orientation val="minMax"/>
        </c:scaling>
        <c:delete val="0"/>
        <c:axPos val="l"/>
        <c:majorGridlines/>
        <c:numFmt formatCode="0" sourceLinked="1"/>
        <c:majorTickMark val="out"/>
        <c:minorTickMark val="none"/>
        <c:tickLblPos val="nextTo"/>
        <c:crossAx val="81220736"/>
        <c:crosses val="autoZero"/>
        <c:crossBetween val="between"/>
      </c:valAx>
    </c:plotArea>
    <c:legend>
      <c:legendPos val="r"/>
      <c:layout>
        <c:manualLayout>
          <c:xMode val="edge"/>
          <c:yMode val="edge"/>
          <c:x val="0.12790266841644796"/>
          <c:y val="0.93228348464982591"/>
          <c:w val="0.82765288713910945"/>
          <c:h val="6.745997969661173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Central Region</a:t>
            </a:r>
          </a:p>
          <a:p>
            <a:pPr>
              <a:defRPr sz="1200"/>
            </a:pPr>
            <a:r>
              <a:rPr lang="en-US" sz="1200"/>
              <a:t>Foster Care Entry by Race/Ethnicity</a:t>
            </a:r>
          </a:p>
        </c:rich>
      </c:tx>
      <c:layout/>
      <c:overlay val="0"/>
    </c:title>
    <c:autoTitleDeleted val="0"/>
    <c:plotArea>
      <c:layout>
        <c:manualLayout>
          <c:layoutTarget val="inner"/>
          <c:xMode val="edge"/>
          <c:yMode val="edge"/>
          <c:x val="0.11821062992126029"/>
          <c:y val="0.19073739431112477"/>
          <c:w val="0.72635870516185452"/>
          <c:h val="0.62338582677165355"/>
        </c:manualLayout>
      </c:layout>
      <c:lineChart>
        <c:grouping val="standard"/>
        <c:varyColors val="0"/>
        <c:ser>
          <c:idx val="0"/>
          <c:order val="0"/>
          <c:tx>
            <c:strRef>
              <c:f>Sheet1!$A$5</c:f>
              <c:strCache>
                <c:ptCount val="1"/>
                <c:pt idx="0">
                  <c:v>African American</c:v>
                </c:pt>
              </c:strCache>
            </c:strRef>
          </c:tx>
          <c:cat>
            <c:numRef>
              <c:f>Sheet1!$B$4:$K$4</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Sheet1!$B$5:$K$5</c:f>
              <c:numCache>
                <c:formatCode>0</c:formatCode>
                <c:ptCount val="10"/>
                <c:pt idx="0">
                  <c:v>557</c:v>
                </c:pt>
                <c:pt idx="1">
                  <c:v>480</c:v>
                </c:pt>
                <c:pt idx="2">
                  <c:v>482</c:v>
                </c:pt>
                <c:pt idx="3">
                  <c:v>512</c:v>
                </c:pt>
                <c:pt idx="4">
                  <c:v>507</c:v>
                </c:pt>
                <c:pt idx="5">
                  <c:v>548</c:v>
                </c:pt>
                <c:pt idx="6">
                  <c:v>616</c:v>
                </c:pt>
                <c:pt idx="7">
                  <c:v>588</c:v>
                </c:pt>
                <c:pt idx="8">
                  <c:v>573</c:v>
                </c:pt>
                <c:pt idx="9">
                  <c:v>550</c:v>
                </c:pt>
              </c:numCache>
            </c:numRef>
          </c:val>
          <c:smooth val="0"/>
        </c:ser>
        <c:ser>
          <c:idx val="1"/>
          <c:order val="1"/>
          <c:tx>
            <c:strRef>
              <c:f>Sheet1!$A$6</c:f>
              <c:strCache>
                <c:ptCount val="1"/>
                <c:pt idx="0">
                  <c:v>Caucasian</c:v>
                </c:pt>
              </c:strCache>
            </c:strRef>
          </c:tx>
          <c:cat>
            <c:numRef>
              <c:f>Sheet1!$B$4:$K$4</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Sheet1!$B$6:$K$6</c:f>
              <c:numCache>
                <c:formatCode>0</c:formatCode>
                <c:ptCount val="10"/>
                <c:pt idx="0">
                  <c:v>836</c:v>
                </c:pt>
                <c:pt idx="1">
                  <c:v>830</c:v>
                </c:pt>
                <c:pt idx="2">
                  <c:v>962</c:v>
                </c:pt>
                <c:pt idx="3">
                  <c:v>933</c:v>
                </c:pt>
                <c:pt idx="4">
                  <c:v>949</c:v>
                </c:pt>
                <c:pt idx="5">
                  <c:v>885</c:v>
                </c:pt>
                <c:pt idx="6">
                  <c:v>951</c:v>
                </c:pt>
                <c:pt idx="7">
                  <c:v>1064</c:v>
                </c:pt>
                <c:pt idx="8">
                  <c:v>968</c:v>
                </c:pt>
                <c:pt idx="9">
                  <c:v>1044</c:v>
                </c:pt>
              </c:numCache>
            </c:numRef>
          </c:val>
          <c:smooth val="0"/>
        </c:ser>
        <c:ser>
          <c:idx val="2"/>
          <c:order val="2"/>
          <c:tx>
            <c:strRef>
              <c:f>Sheet1!$A$7</c:f>
              <c:strCache>
                <c:ptCount val="1"/>
                <c:pt idx="0">
                  <c:v>Hispanic</c:v>
                </c:pt>
              </c:strCache>
            </c:strRef>
          </c:tx>
          <c:cat>
            <c:numRef>
              <c:f>Sheet1!$B$4:$K$4</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Sheet1!$B$7:$K$7</c:f>
              <c:numCache>
                <c:formatCode>0</c:formatCode>
                <c:ptCount val="10"/>
                <c:pt idx="0">
                  <c:v>34</c:v>
                </c:pt>
                <c:pt idx="1">
                  <c:v>30</c:v>
                </c:pt>
                <c:pt idx="2">
                  <c:v>39</c:v>
                </c:pt>
                <c:pt idx="3">
                  <c:v>36</c:v>
                </c:pt>
                <c:pt idx="4">
                  <c:v>39</c:v>
                </c:pt>
                <c:pt idx="5">
                  <c:v>47</c:v>
                </c:pt>
                <c:pt idx="6">
                  <c:v>46</c:v>
                </c:pt>
                <c:pt idx="7">
                  <c:v>35</c:v>
                </c:pt>
                <c:pt idx="8">
                  <c:v>30</c:v>
                </c:pt>
                <c:pt idx="9">
                  <c:v>25</c:v>
                </c:pt>
              </c:numCache>
            </c:numRef>
          </c:val>
          <c:smooth val="0"/>
        </c:ser>
        <c:ser>
          <c:idx val="3"/>
          <c:order val="3"/>
          <c:tx>
            <c:strRef>
              <c:f>Sheet1!$A$8</c:f>
              <c:strCache>
                <c:ptCount val="1"/>
                <c:pt idx="0">
                  <c:v>Other</c:v>
                </c:pt>
              </c:strCache>
            </c:strRef>
          </c:tx>
          <c:cat>
            <c:numRef>
              <c:f>Sheet1!$B$4:$K$4</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Sheet1!$B$8:$K$8</c:f>
              <c:numCache>
                <c:formatCode>0</c:formatCode>
                <c:ptCount val="10"/>
                <c:pt idx="0">
                  <c:v>58</c:v>
                </c:pt>
                <c:pt idx="1">
                  <c:v>55</c:v>
                </c:pt>
                <c:pt idx="2">
                  <c:v>56</c:v>
                </c:pt>
                <c:pt idx="3">
                  <c:v>27</c:v>
                </c:pt>
                <c:pt idx="4">
                  <c:v>27</c:v>
                </c:pt>
                <c:pt idx="5">
                  <c:v>20</c:v>
                </c:pt>
                <c:pt idx="6">
                  <c:v>35</c:v>
                </c:pt>
                <c:pt idx="7">
                  <c:v>37</c:v>
                </c:pt>
                <c:pt idx="8">
                  <c:v>27</c:v>
                </c:pt>
                <c:pt idx="9" formatCode="General">
                  <c:v>27</c:v>
                </c:pt>
              </c:numCache>
            </c:numRef>
          </c:val>
          <c:smooth val="0"/>
        </c:ser>
        <c:dLbls>
          <c:showLegendKey val="0"/>
          <c:showVal val="0"/>
          <c:showCatName val="0"/>
          <c:showSerName val="0"/>
          <c:showPercent val="0"/>
          <c:showBubbleSize val="0"/>
        </c:dLbls>
        <c:marker val="1"/>
        <c:smooth val="0"/>
        <c:axId val="81253504"/>
        <c:axId val="81255040"/>
      </c:lineChart>
      <c:catAx>
        <c:axId val="81253504"/>
        <c:scaling>
          <c:orientation val="minMax"/>
        </c:scaling>
        <c:delete val="0"/>
        <c:axPos val="b"/>
        <c:numFmt formatCode="0" sourceLinked="1"/>
        <c:majorTickMark val="out"/>
        <c:minorTickMark val="none"/>
        <c:tickLblPos val="nextTo"/>
        <c:crossAx val="81255040"/>
        <c:crosses val="autoZero"/>
        <c:auto val="1"/>
        <c:lblAlgn val="ctr"/>
        <c:lblOffset val="100"/>
        <c:noMultiLvlLbl val="0"/>
      </c:catAx>
      <c:valAx>
        <c:axId val="81255040"/>
        <c:scaling>
          <c:orientation val="minMax"/>
        </c:scaling>
        <c:delete val="0"/>
        <c:axPos val="l"/>
        <c:majorGridlines/>
        <c:numFmt formatCode="0" sourceLinked="1"/>
        <c:majorTickMark val="out"/>
        <c:minorTickMark val="none"/>
        <c:tickLblPos val="nextTo"/>
        <c:crossAx val="81253504"/>
        <c:crosses val="autoZero"/>
        <c:crossBetween val="between"/>
      </c:valAx>
    </c:plotArea>
    <c:legend>
      <c:legendPos val="r"/>
      <c:layout>
        <c:manualLayout>
          <c:xMode val="edge"/>
          <c:yMode val="edge"/>
          <c:x val="9.7347112860892426E-2"/>
          <c:y val="0.93473334797092256"/>
          <c:w val="0.79709733158355411"/>
          <c:h val="6.5266528496798579E-2"/>
        </c:manualLayout>
      </c:layout>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baseline="0"/>
              <a:t>Cook North Region</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Foster Care Entry by Race/Ethnicity</a:t>
            </a:r>
            <a:endParaRPr lang="en-US"/>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baseline="0"/>
              <a:t> </a:t>
            </a:r>
            <a:endParaRPr lang="en-US"/>
          </a:p>
        </c:rich>
      </c:tx>
      <c:layout>
        <c:manualLayout>
          <c:xMode val="edge"/>
          <c:yMode val="edge"/>
          <c:x val="0.12737489063866966"/>
          <c:y val="2.2598863354282187E-2"/>
        </c:manualLayout>
      </c:layout>
      <c:overlay val="0"/>
    </c:title>
    <c:autoTitleDeleted val="0"/>
    <c:plotArea>
      <c:layout>
        <c:manualLayout>
          <c:layoutTarget val="inner"/>
          <c:xMode val="edge"/>
          <c:yMode val="edge"/>
          <c:x val="0.12966338582677223"/>
          <c:y val="0.21014184790490445"/>
          <c:w val="0.85433092738407912"/>
          <c:h val="0.55717052740468065"/>
        </c:manualLayout>
      </c:layout>
      <c:lineChart>
        <c:grouping val="standard"/>
        <c:varyColors val="0"/>
        <c:ser>
          <c:idx val="0"/>
          <c:order val="0"/>
          <c:tx>
            <c:strRef>
              <c:f>Sheet1!$A$33</c:f>
              <c:strCache>
                <c:ptCount val="1"/>
                <c:pt idx="0">
                  <c:v>African American</c:v>
                </c:pt>
              </c:strCache>
            </c:strRef>
          </c:tx>
          <c:cat>
            <c:numRef>
              <c:f>Sheet1!$B$32:$K$32</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Sheet1!$B$33:$K$33</c:f>
              <c:numCache>
                <c:formatCode>0</c:formatCode>
                <c:ptCount val="10"/>
                <c:pt idx="0">
                  <c:v>179</c:v>
                </c:pt>
                <c:pt idx="1">
                  <c:v>175</c:v>
                </c:pt>
                <c:pt idx="2">
                  <c:v>161</c:v>
                </c:pt>
                <c:pt idx="3">
                  <c:v>119</c:v>
                </c:pt>
                <c:pt idx="4">
                  <c:v>118</c:v>
                </c:pt>
                <c:pt idx="5">
                  <c:v>86</c:v>
                </c:pt>
                <c:pt idx="6" formatCode="General">
                  <c:v>60</c:v>
                </c:pt>
                <c:pt idx="7" formatCode="General">
                  <c:v>101</c:v>
                </c:pt>
                <c:pt idx="8" formatCode="General">
                  <c:v>84</c:v>
                </c:pt>
                <c:pt idx="9" formatCode="General">
                  <c:v>75</c:v>
                </c:pt>
              </c:numCache>
            </c:numRef>
          </c:val>
          <c:smooth val="0"/>
        </c:ser>
        <c:ser>
          <c:idx val="1"/>
          <c:order val="1"/>
          <c:tx>
            <c:strRef>
              <c:f>Sheet1!$A$34</c:f>
              <c:strCache>
                <c:ptCount val="1"/>
                <c:pt idx="0">
                  <c:v>Caucasian</c:v>
                </c:pt>
              </c:strCache>
            </c:strRef>
          </c:tx>
          <c:cat>
            <c:numRef>
              <c:f>Sheet1!$B$32:$K$32</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Sheet1!$B$34:$K$34</c:f>
              <c:numCache>
                <c:formatCode>0</c:formatCode>
                <c:ptCount val="10"/>
                <c:pt idx="0">
                  <c:v>90</c:v>
                </c:pt>
                <c:pt idx="1">
                  <c:v>110</c:v>
                </c:pt>
                <c:pt idx="2">
                  <c:v>93</c:v>
                </c:pt>
                <c:pt idx="3">
                  <c:v>67</c:v>
                </c:pt>
                <c:pt idx="4">
                  <c:v>79</c:v>
                </c:pt>
                <c:pt idx="5">
                  <c:v>47</c:v>
                </c:pt>
                <c:pt idx="6" formatCode="General">
                  <c:v>48</c:v>
                </c:pt>
                <c:pt idx="7" formatCode="General">
                  <c:v>88</c:v>
                </c:pt>
                <c:pt idx="8" formatCode="General">
                  <c:v>65</c:v>
                </c:pt>
                <c:pt idx="9" formatCode="General">
                  <c:v>87</c:v>
                </c:pt>
              </c:numCache>
            </c:numRef>
          </c:val>
          <c:smooth val="0"/>
        </c:ser>
        <c:ser>
          <c:idx val="2"/>
          <c:order val="2"/>
          <c:tx>
            <c:strRef>
              <c:f>Sheet1!$A$35</c:f>
              <c:strCache>
                <c:ptCount val="1"/>
                <c:pt idx="0">
                  <c:v>Hispanic</c:v>
                </c:pt>
              </c:strCache>
            </c:strRef>
          </c:tx>
          <c:cat>
            <c:numRef>
              <c:f>Sheet1!$B$32:$K$32</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Sheet1!$B$35:$K$35</c:f>
              <c:numCache>
                <c:formatCode>0</c:formatCode>
                <c:ptCount val="10"/>
                <c:pt idx="0">
                  <c:v>48</c:v>
                </c:pt>
                <c:pt idx="1">
                  <c:v>69</c:v>
                </c:pt>
                <c:pt idx="2">
                  <c:v>29</c:v>
                </c:pt>
                <c:pt idx="3">
                  <c:v>33</c:v>
                </c:pt>
                <c:pt idx="4">
                  <c:v>40</c:v>
                </c:pt>
                <c:pt idx="5">
                  <c:v>35</c:v>
                </c:pt>
                <c:pt idx="6" formatCode="General">
                  <c:v>23</c:v>
                </c:pt>
                <c:pt idx="7" formatCode="General">
                  <c:v>37</c:v>
                </c:pt>
                <c:pt idx="8" formatCode="General">
                  <c:v>31</c:v>
                </c:pt>
                <c:pt idx="9" formatCode="General">
                  <c:v>50</c:v>
                </c:pt>
              </c:numCache>
            </c:numRef>
          </c:val>
          <c:smooth val="0"/>
        </c:ser>
        <c:ser>
          <c:idx val="3"/>
          <c:order val="3"/>
          <c:tx>
            <c:strRef>
              <c:f>Sheet1!$A$36</c:f>
              <c:strCache>
                <c:ptCount val="1"/>
                <c:pt idx="0">
                  <c:v>Other</c:v>
                </c:pt>
              </c:strCache>
            </c:strRef>
          </c:tx>
          <c:cat>
            <c:numRef>
              <c:f>Sheet1!$B$32:$K$32</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Sheet1!$B$36:$K$36</c:f>
              <c:numCache>
                <c:formatCode>0</c:formatCode>
                <c:ptCount val="10"/>
                <c:pt idx="0">
                  <c:v>29</c:v>
                </c:pt>
                <c:pt idx="1">
                  <c:v>14</c:v>
                </c:pt>
                <c:pt idx="2">
                  <c:v>19</c:v>
                </c:pt>
                <c:pt idx="3">
                  <c:v>7</c:v>
                </c:pt>
                <c:pt idx="4">
                  <c:v>21</c:v>
                </c:pt>
                <c:pt idx="5">
                  <c:v>11</c:v>
                </c:pt>
                <c:pt idx="6" formatCode="General">
                  <c:v>1</c:v>
                </c:pt>
                <c:pt idx="7" formatCode="General">
                  <c:v>3</c:v>
                </c:pt>
                <c:pt idx="8" formatCode="General">
                  <c:v>9</c:v>
                </c:pt>
                <c:pt idx="9" formatCode="General">
                  <c:v>13</c:v>
                </c:pt>
              </c:numCache>
            </c:numRef>
          </c:val>
          <c:smooth val="0"/>
        </c:ser>
        <c:dLbls>
          <c:showLegendKey val="0"/>
          <c:showVal val="0"/>
          <c:showCatName val="0"/>
          <c:showSerName val="0"/>
          <c:showPercent val="0"/>
          <c:showBubbleSize val="0"/>
        </c:dLbls>
        <c:marker val="1"/>
        <c:smooth val="0"/>
        <c:axId val="82261888"/>
        <c:axId val="82263424"/>
      </c:lineChart>
      <c:catAx>
        <c:axId val="82261888"/>
        <c:scaling>
          <c:orientation val="minMax"/>
        </c:scaling>
        <c:delete val="0"/>
        <c:axPos val="b"/>
        <c:numFmt formatCode="0" sourceLinked="1"/>
        <c:majorTickMark val="out"/>
        <c:minorTickMark val="none"/>
        <c:tickLblPos val="nextTo"/>
        <c:crossAx val="82263424"/>
        <c:crosses val="autoZero"/>
        <c:auto val="1"/>
        <c:lblAlgn val="ctr"/>
        <c:lblOffset val="100"/>
        <c:noMultiLvlLbl val="0"/>
      </c:catAx>
      <c:valAx>
        <c:axId val="82263424"/>
        <c:scaling>
          <c:orientation val="minMax"/>
        </c:scaling>
        <c:delete val="0"/>
        <c:axPos val="l"/>
        <c:majorGridlines/>
        <c:numFmt formatCode="0" sourceLinked="1"/>
        <c:majorTickMark val="out"/>
        <c:minorTickMark val="none"/>
        <c:tickLblPos val="nextTo"/>
        <c:crossAx val="82261888"/>
        <c:crosses val="autoZero"/>
        <c:crossBetween val="between"/>
      </c:valAx>
    </c:plotArea>
    <c:legend>
      <c:legendPos val="r"/>
      <c:layout>
        <c:manualLayout>
          <c:xMode val="edge"/>
          <c:yMode val="edge"/>
          <c:x val="0.12790266841644796"/>
          <c:y val="0.93228348464982591"/>
          <c:w val="0.82765288713910978"/>
          <c:h val="6.745997969661173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baseline="0"/>
              <a:t>Cook South Region</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Foster Care Entry by Race/Ethnicity</a:t>
            </a:r>
            <a:endParaRPr lang="en-US"/>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baseline="0"/>
              <a:t> </a:t>
            </a:r>
            <a:endParaRPr lang="en-US"/>
          </a:p>
        </c:rich>
      </c:tx>
      <c:layout>
        <c:manualLayout>
          <c:xMode val="edge"/>
          <c:yMode val="edge"/>
          <c:x val="0.12737489063866955"/>
          <c:y val="2.2598863354282187E-2"/>
        </c:manualLayout>
      </c:layout>
      <c:overlay val="0"/>
    </c:title>
    <c:autoTitleDeleted val="0"/>
    <c:plotArea>
      <c:layout>
        <c:manualLayout>
          <c:layoutTarget val="inner"/>
          <c:xMode val="edge"/>
          <c:yMode val="edge"/>
          <c:x val="0.12966338582677234"/>
          <c:y val="0.21014184790490445"/>
          <c:w val="0.85433092738407956"/>
          <c:h val="0.55717052740468065"/>
        </c:manualLayout>
      </c:layout>
      <c:lineChart>
        <c:grouping val="standard"/>
        <c:varyColors val="0"/>
        <c:ser>
          <c:idx val="0"/>
          <c:order val="0"/>
          <c:tx>
            <c:strRef>
              <c:f>Sheet1!$A$40</c:f>
              <c:strCache>
                <c:ptCount val="1"/>
                <c:pt idx="0">
                  <c:v>African American</c:v>
                </c:pt>
              </c:strCache>
            </c:strRef>
          </c:tx>
          <c:cat>
            <c:numRef>
              <c:f>Sheet1!$B$39:$K$39</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Sheet1!$B$40:$K$40</c:f>
              <c:numCache>
                <c:formatCode>0</c:formatCode>
                <c:ptCount val="10"/>
                <c:pt idx="0">
                  <c:v>1144</c:v>
                </c:pt>
                <c:pt idx="1">
                  <c:v>1027</c:v>
                </c:pt>
                <c:pt idx="2">
                  <c:v>913</c:v>
                </c:pt>
                <c:pt idx="3">
                  <c:v>723</c:v>
                </c:pt>
                <c:pt idx="4">
                  <c:v>834</c:v>
                </c:pt>
                <c:pt idx="5">
                  <c:v>552</c:v>
                </c:pt>
                <c:pt idx="6" formatCode="General">
                  <c:v>493</c:v>
                </c:pt>
                <c:pt idx="7" formatCode="General">
                  <c:v>673</c:v>
                </c:pt>
                <c:pt idx="8" formatCode="General">
                  <c:v>536</c:v>
                </c:pt>
                <c:pt idx="9" formatCode="General">
                  <c:v>602</c:v>
                </c:pt>
              </c:numCache>
            </c:numRef>
          </c:val>
          <c:smooth val="0"/>
        </c:ser>
        <c:ser>
          <c:idx val="1"/>
          <c:order val="1"/>
          <c:tx>
            <c:strRef>
              <c:f>Sheet1!$A$41</c:f>
              <c:strCache>
                <c:ptCount val="1"/>
                <c:pt idx="0">
                  <c:v>Caucasian</c:v>
                </c:pt>
              </c:strCache>
            </c:strRef>
          </c:tx>
          <c:cat>
            <c:numRef>
              <c:f>Sheet1!$B$39:$K$39</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Sheet1!$B$41:$K$41</c:f>
              <c:numCache>
                <c:formatCode>0</c:formatCode>
                <c:ptCount val="10"/>
                <c:pt idx="0">
                  <c:v>87</c:v>
                </c:pt>
                <c:pt idx="1">
                  <c:v>60</c:v>
                </c:pt>
                <c:pt idx="2">
                  <c:v>63</c:v>
                </c:pt>
                <c:pt idx="3">
                  <c:v>52</c:v>
                </c:pt>
                <c:pt idx="4">
                  <c:v>64</c:v>
                </c:pt>
                <c:pt idx="5">
                  <c:v>45</c:v>
                </c:pt>
                <c:pt idx="6" formatCode="General">
                  <c:v>50</c:v>
                </c:pt>
                <c:pt idx="7" formatCode="General">
                  <c:v>60</c:v>
                </c:pt>
                <c:pt idx="8" formatCode="General">
                  <c:v>52</c:v>
                </c:pt>
                <c:pt idx="9" formatCode="General">
                  <c:v>46</c:v>
                </c:pt>
              </c:numCache>
            </c:numRef>
          </c:val>
          <c:smooth val="0"/>
        </c:ser>
        <c:ser>
          <c:idx val="2"/>
          <c:order val="2"/>
          <c:tx>
            <c:strRef>
              <c:f>Sheet1!$A$42</c:f>
              <c:strCache>
                <c:ptCount val="1"/>
                <c:pt idx="0">
                  <c:v>Hispanic</c:v>
                </c:pt>
              </c:strCache>
            </c:strRef>
          </c:tx>
          <c:cat>
            <c:numRef>
              <c:f>Sheet1!$B$39:$K$39</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Sheet1!$B$42:$K$42</c:f>
              <c:numCache>
                <c:formatCode>0</c:formatCode>
                <c:ptCount val="10"/>
                <c:pt idx="0">
                  <c:v>39</c:v>
                </c:pt>
                <c:pt idx="1">
                  <c:v>50</c:v>
                </c:pt>
                <c:pt idx="2">
                  <c:v>41</c:v>
                </c:pt>
                <c:pt idx="3">
                  <c:v>11</c:v>
                </c:pt>
                <c:pt idx="4">
                  <c:v>29</c:v>
                </c:pt>
                <c:pt idx="5">
                  <c:v>31</c:v>
                </c:pt>
                <c:pt idx="6" formatCode="General">
                  <c:v>29</c:v>
                </c:pt>
                <c:pt idx="7" formatCode="General">
                  <c:v>18</c:v>
                </c:pt>
                <c:pt idx="8" formatCode="General">
                  <c:v>36</c:v>
                </c:pt>
                <c:pt idx="9" formatCode="General">
                  <c:v>37</c:v>
                </c:pt>
              </c:numCache>
            </c:numRef>
          </c:val>
          <c:smooth val="0"/>
        </c:ser>
        <c:ser>
          <c:idx val="3"/>
          <c:order val="3"/>
          <c:tx>
            <c:strRef>
              <c:f>Sheet1!$A$43</c:f>
              <c:strCache>
                <c:ptCount val="1"/>
                <c:pt idx="0">
                  <c:v>Other</c:v>
                </c:pt>
              </c:strCache>
            </c:strRef>
          </c:tx>
          <c:cat>
            <c:numRef>
              <c:f>Sheet1!$B$39:$K$39</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Sheet1!$B$43:$K$43</c:f>
              <c:numCache>
                <c:formatCode>0</c:formatCode>
                <c:ptCount val="10"/>
                <c:pt idx="0">
                  <c:v>13</c:v>
                </c:pt>
                <c:pt idx="1">
                  <c:v>17</c:v>
                </c:pt>
                <c:pt idx="2">
                  <c:v>18</c:v>
                </c:pt>
                <c:pt idx="3">
                  <c:v>9</c:v>
                </c:pt>
                <c:pt idx="4">
                  <c:v>10</c:v>
                </c:pt>
                <c:pt idx="5">
                  <c:v>6</c:v>
                </c:pt>
                <c:pt idx="6" formatCode="General">
                  <c:v>5</c:v>
                </c:pt>
                <c:pt idx="7" formatCode="General">
                  <c:v>10</c:v>
                </c:pt>
                <c:pt idx="8" formatCode="General">
                  <c:v>12</c:v>
                </c:pt>
                <c:pt idx="9" formatCode="General">
                  <c:v>7</c:v>
                </c:pt>
              </c:numCache>
            </c:numRef>
          </c:val>
          <c:smooth val="0"/>
        </c:ser>
        <c:dLbls>
          <c:showLegendKey val="0"/>
          <c:showVal val="0"/>
          <c:showCatName val="0"/>
          <c:showSerName val="0"/>
          <c:showPercent val="0"/>
          <c:showBubbleSize val="0"/>
        </c:dLbls>
        <c:marker val="1"/>
        <c:smooth val="0"/>
        <c:axId val="83642240"/>
        <c:axId val="83643776"/>
      </c:lineChart>
      <c:catAx>
        <c:axId val="83642240"/>
        <c:scaling>
          <c:orientation val="minMax"/>
        </c:scaling>
        <c:delete val="0"/>
        <c:axPos val="b"/>
        <c:numFmt formatCode="0" sourceLinked="1"/>
        <c:majorTickMark val="out"/>
        <c:minorTickMark val="none"/>
        <c:tickLblPos val="nextTo"/>
        <c:crossAx val="83643776"/>
        <c:crosses val="autoZero"/>
        <c:auto val="1"/>
        <c:lblAlgn val="ctr"/>
        <c:lblOffset val="100"/>
        <c:noMultiLvlLbl val="0"/>
      </c:catAx>
      <c:valAx>
        <c:axId val="83643776"/>
        <c:scaling>
          <c:orientation val="minMax"/>
        </c:scaling>
        <c:delete val="0"/>
        <c:axPos val="l"/>
        <c:majorGridlines/>
        <c:numFmt formatCode="0" sourceLinked="1"/>
        <c:majorTickMark val="out"/>
        <c:minorTickMark val="none"/>
        <c:tickLblPos val="nextTo"/>
        <c:crossAx val="83642240"/>
        <c:crosses val="autoZero"/>
        <c:crossBetween val="between"/>
      </c:valAx>
    </c:plotArea>
    <c:legend>
      <c:legendPos val="r"/>
      <c:layout>
        <c:manualLayout>
          <c:xMode val="edge"/>
          <c:yMode val="edge"/>
          <c:x val="0.12790266841644796"/>
          <c:y val="0.93228348464982591"/>
          <c:w val="0.82765288713911023"/>
          <c:h val="6.745997969661173E-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baseline="0"/>
              <a:t>Cook Central Region</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Foster Care Entry by Race/Ethnicity</a:t>
            </a:r>
            <a:endParaRPr lang="en-US"/>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baseline="0"/>
              <a:t> </a:t>
            </a:r>
            <a:endParaRPr lang="en-US"/>
          </a:p>
        </c:rich>
      </c:tx>
      <c:layout>
        <c:manualLayout>
          <c:xMode val="edge"/>
          <c:yMode val="edge"/>
          <c:x val="0.12737489063866961"/>
          <c:y val="2.2598863354282187E-2"/>
        </c:manualLayout>
      </c:layout>
      <c:overlay val="0"/>
    </c:title>
    <c:autoTitleDeleted val="0"/>
    <c:plotArea>
      <c:layout>
        <c:manualLayout>
          <c:layoutTarget val="inner"/>
          <c:xMode val="edge"/>
          <c:yMode val="edge"/>
          <c:x val="0.12966338582677228"/>
          <c:y val="0.21014184790490445"/>
          <c:w val="0.85433092738407934"/>
          <c:h val="0.55717052740468065"/>
        </c:manualLayout>
      </c:layout>
      <c:lineChart>
        <c:grouping val="standard"/>
        <c:varyColors val="0"/>
        <c:ser>
          <c:idx val="0"/>
          <c:order val="0"/>
          <c:tx>
            <c:strRef>
              <c:f>Sheet1!$A$26</c:f>
              <c:strCache>
                <c:ptCount val="1"/>
                <c:pt idx="0">
                  <c:v>African American</c:v>
                </c:pt>
              </c:strCache>
            </c:strRef>
          </c:tx>
          <c:cat>
            <c:numRef>
              <c:f>Sheet1!$B$25:$K$25</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Sheet1!$B$26:$K$26</c:f>
              <c:numCache>
                <c:formatCode>0</c:formatCode>
                <c:ptCount val="10"/>
                <c:pt idx="0">
                  <c:v>593</c:v>
                </c:pt>
                <c:pt idx="1">
                  <c:v>591</c:v>
                </c:pt>
                <c:pt idx="2">
                  <c:v>436</c:v>
                </c:pt>
                <c:pt idx="3">
                  <c:v>379</c:v>
                </c:pt>
                <c:pt idx="4">
                  <c:v>368</c:v>
                </c:pt>
                <c:pt idx="5">
                  <c:v>282</c:v>
                </c:pt>
                <c:pt idx="6" formatCode="General">
                  <c:v>219</c:v>
                </c:pt>
                <c:pt idx="7" formatCode="General">
                  <c:v>294</c:v>
                </c:pt>
                <c:pt idx="8" formatCode="General">
                  <c:v>201</c:v>
                </c:pt>
                <c:pt idx="9" formatCode="General">
                  <c:v>226</c:v>
                </c:pt>
              </c:numCache>
            </c:numRef>
          </c:val>
          <c:smooth val="0"/>
        </c:ser>
        <c:ser>
          <c:idx val="1"/>
          <c:order val="1"/>
          <c:tx>
            <c:strRef>
              <c:f>Sheet1!$A$27</c:f>
              <c:strCache>
                <c:ptCount val="1"/>
                <c:pt idx="0">
                  <c:v>Caucasian</c:v>
                </c:pt>
              </c:strCache>
            </c:strRef>
          </c:tx>
          <c:cat>
            <c:numRef>
              <c:f>Sheet1!$B$25:$K$25</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Sheet1!$B$27:$K$27</c:f>
              <c:numCache>
                <c:formatCode>0</c:formatCode>
                <c:ptCount val="10"/>
                <c:pt idx="0">
                  <c:v>71</c:v>
                </c:pt>
                <c:pt idx="1">
                  <c:v>90</c:v>
                </c:pt>
                <c:pt idx="2">
                  <c:v>45</c:v>
                </c:pt>
                <c:pt idx="3">
                  <c:v>50</c:v>
                </c:pt>
                <c:pt idx="4">
                  <c:v>80</c:v>
                </c:pt>
                <c:pt idx="5">
                  <c:v>39</c:v>
                </c:pt>
                <c:pt idx="6" formatCode="General">
                  <c:v>48</c:v>
                </c:pt>
                <c:pt idx="7" formatCode="General">
                  <c:v>33</c:v>
                </c:pt>
                <c:pt idx="8" formatCode="General">
                  <c:v>44</c:v>
                </c:pt>
                <c:pt idx="9" formatCode="General">
                  <c:v>74</c:v>
                </c:pt>
              </c:numCache>
            </c:numRef>
          </c:val>
          <c:smooth val="0"/>
        </c:ser>
        <c:ser>
          <c:idx val="2"/>
          <c:order val="2"/>
          <c:tx>
            <c:strRef>
              <c:f>Sheet1!$A$28</c:f>
              <c:strCache>
                <c:ptCount val="1"/>
                <c:pt idx="0">
                  <c:v>Hispanic</c:v>
                </c:pt>
              </c:strCache>
            </c:strRef>
          </c:tx>
          <c:cat>
            <c:numRef>
              <c:f>Sheet1!$B$25:$K$25</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Sheet1!$B$28:$K$28</c:f>
              <c:numCache>
                <c:formatCode>0</c:formatCode>
                <c:ptCount val="10"/>
                <c:pt idx="0">
                  <c:v>100</c:v>
                </c:pt>
                <c:pt idx="1">
                  <c:v>93</c:v>
                </c:pt>
                <c:pt idx="2">
                  <c:v>89</c:v>
                </c:pt>
                <c:pt idx="3">
                  <c:v>72</c:v>
                </c:pt>
                <c:pt idx="4">
                  <c:v>99</c:v>
                </c:pt>
                <c:pt idx="5">
                  <c:v>60</c:v>
                </c:pt>
                <c:pt idx="6" formatCode="General">
                  <c:v>52</c:v>
                </c:pt>
                <c:pt idx="7" formatCode="General">
                  <c:v>67</c:v>
                </c:pt>
                <c:pt idx="8" formatCode="General">
                  <c:v>41</c:v>
                </c:pt>
                <c:pt idx="9" formatCode="General">
                  <c:v>55</c:v>
                </c:pt>
              </c:numCache>
            </c:numRef>
          </c:val>
          <c:smooth val="0"/>
        </c:ser>
        <c:ser>
          <c:idx val="3"/>
          <c:order val="3"/>
          <c:tx>
            <c:strRef>
              <c:f>Sheet1!$A$29</c:f>
              <c:strCache>
                <c:ptCount val="1"/>
                <c:pt idx="0">
                  <c:v>Other</c:v>
                </c:pt>
              </c:strCache>
            </c:strRef>
          </c:tx>
          <c:cat>
            <c:numRef>
              <c:f>Sheet1!$B$25:$K$25</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Sheet1!$B$29:$K$29</c:f>
              <c:numCache>
                <c:formatCode>0</c:formatCode>
                <c:ptCount val="10"/>
                <c:pt idx="0">
                  <c:v>10</c:v>
                </c:pt>
                <c:pt idx="1">
                  <c:v>23</c:v>
                </c:pt>
                <c:pt idx="2">
                  <c:v>12</c:v>
                </c:pt>
                <c:pt idx="3">
                  <c:v>6</c:v>
                </c:pt>
                <c:pt idx="4">
                  <c:v>10</c:v>
                </c:pt>
                <c:pt idx="5">
                  <c:v>10</c:v>
                </c:pt>
                <c:pt idx="6" formatCode="General">
                  <c:v>5</c:v>
                </c:pt>
                <c:pt idx="7" formatCode="General">
                  <c:v>4</c:v>
                </c:pt>
                <c:pt idx="8" formatCode="General">
                  <c:v>6</c:v>
                </c:pt>
                <c:pt idx="9" formatCode="General">
                  <c:v>9</c:v>
                </c:pt>
              </c:numCache>
            </c:numRef>
          </c:val>
          <c:smooth val="0"/>
        </c:ser>
        <c:dLbls>
          <c:showLegendKey val="0"/>
          <c:showVal val="0"/>
          <c:showCatName val="0"/>
          <c:showSerName val="0"/>
          <c:showPercent val="0"/>
          <c:showBubbleSize val="0"/>
        </c:dLbls>
        <c:marker val="1"/>
        <c:smooth val="0"/>
        <c:axId val="83675008"/>
        <c:axId val="83676544"/>
      </c:lineChart>
      <c:catAx>
        <c:axId val="83675008"/>
        <c:scaling>
          <c:orientation val="minMax"/>
        </c:scaling>
        <c:delete val="0"/>
        <c:axPos val="b"/>
        <c:numFmt formatCode="0" sourceLinked="1"/>
        <c:majorTickMark val="out"/>
        <c:minorTickMark val="none"/>
        <c:tickLblPos val="nextTo"/>
        <c:crossAx val="83676544"/>
        <c:crosses val="autoZero"/>
        <c:auto val="1"/>
        <c:lblAlgn val="ctr"/>
        <c:lblOffset val="100"/>
        <c:noMultiLvlLbl val="0"/>
      </c:catAx>
      <c:valAx>
        <c:axId val="83676544"/>
        <c:scaling>
          <c:orientation val="minMax"/>
        </c:scaling>
        <c:delete val="0"/>
        <c:axPos val="l"/>
        <c:majorGridlines/>
        <c:numFmt formatCode="0" sourceLinked="1"/>
        <c:majorTickMark val="out"/>
        <c:minorTickMark val="none"/>
        <c:tickLblPos val="nextTo"/>
        <c:crossAx val="83675008"/>
        <c:crosses val="autoZero"/>
        <c:crossBetween val="between"/>
      </c:valAx>
    </c:plotArea>
    <c:legend>
      <c:legendPos val="r"/>
      <c:layout>
        <c:manualLayout>
          <c:xMode val="edge"/>
          <c:yMode val="edge"/>
          <c:x val="0.12790266841644796"/>
          <c:y val="0.93228348464982591"/>
          <c:w val="0.82765288713911001"/>
          <c:h val="6.745997969661173E-2"/>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27515310586177"/>
          <c:y val="0.17743930446194303"/>
          <c:w val="0.83293890347040123"/>
          <c:h val="0.64455107174103232"/>
        </c:manualLayout>
      </c:layout>
      <c:barChart>
        <c:barDir val="col"/>
        <c:grouping val="clustered"/>
        <c:varyColors val="0"/>
        <c:ser>
          <c:idx val="0"/>
          <c:order val="0"/>
          <c:tx>
            <c:strRef>
              <c:f>'Disparity ratio'!$A$3</c:f>
              <c:strCache>
                <c:ptCount val="1"/>
                <c:pt idx="0">
                  <c:v>African American</c:v>
                </c:pt>
              </c:strCache>
            </c:strRef>
          </c:tx>
          <c:invertIfNegative val="0"/>
          <c:cat>
            <c:strRef>
              <c:f>'Disparity ratio'!$B$2:$H$2</c:f>
              <c:strCache>
                <c:ptCount val="7"/>
                <c:pt idx="0">
                  <c:v>Champaign</c:v>
                </c:pt>
                <c:pt idx="1">
                  <c:v>Macon</c:v>
                </c:pt>
                <c:pt idx="2">
                  <c:v>McLean</c:v>
                </c:pt>
                <c:pt idx="3">
                  <c:v>Peoria</c:v>
                </c:pt>
                <c:pt idx="4">
                  <c:v>Rock Island</c:v>
                </c:pt>
                <c:pt idx="5">
                  <c:v>Sangamon</c:v>
                </c:pt>
                <c:pt idx="6">
                  <c:v>Vermilion</c:v>
                </c:pt>
              </c:strCache>
            </c:strRef>
          </c:cat>
          <c:val>
            <c:numRef>
              <c:f>'Disparity ratio'!$B$3:$H$3</c:f>
              <c:numCache>
                <c:formatCode>0.00%</c:formatCode>
                <c:ptCount val="7"/>
                <c:pt idx="0">
                  <c:v>0.12383027816946546</c:v>
                </c:pt>
                <c:pt idx="1">
                  <c:v>9.3620546810273764E-2</c:v>
                </c:pt>
                <c:pt idx="2">
                  <c:v>9.8642706939399763E-2</c:v>
                </c:pt>
                <c:pt idx="3">
                  <c:v>9.1646704273240093E-2</c:v>
                </c:pt>
                <c:pt idx="4">
                  <c:v>0.16356050069541028</c:v>
                </c:pt>
                <c:pt idx="5">
                  <c:v>0.1231368952075212</c:v>
                </c:pt>
                <c:pt idx="6">
                  <c:v>0.13232389730085567</c:v>
                </c:pt>
              </c:numCache>
            </c:numRef>
          </c:val>
        </c:ser>
        <c:ser>
          <c:idx val="1"/>
          <c:order val="1"/>
          <c:tx>
            <c:strRef>
              <c:f>'Disparity ratio'!$A$4</c:f>
              <c:strCache>
                <c:ptCount val="1"/>
                <c:pt idx="0">
                  <c:v>Caucasian</c:v>
                </c:pt>
              </c:strCache>
            </c:strRef>
          </c:tx>
          <c:invertIfNegative val="0"/>
          <c:cat>
            <c:strRef>
              <c:f>'Disparity ratio'!$B$2:$H$2</c:f>
              <c:strCache>
                <c:ptCount val="7"/>
                <c:pt idx="0">
                  <c:v>Champaign</c:v>
                </c:pt>
                <c:pt idx="1">
                  <c:v>Macon</c:v>
                </c:pt>
                <c:pt idx="2">
                  <c:v>McLean</c:v>
                </c:pt>
                <c:pt idx="3">
                  <c:v>Peoria</c:v>
                </c:pt>
                <c:pt idx="4">
                  <c:v>Rock Island</c:v>
                </c:pt>
                <c:pt idx="5">
                  <c:v>Sangamon</c:v>
                </c:pt>
                <c:pt idx="6">
                  <c:v>Vermilion</c:v>
                </c:pt>
              </c:strCache>
            </c:strRef>
          </c:cat>
          <c:val>
            <c:numRef>
              <c:f>'Disparity ratio'!$B$4:$H$4</c:f>
              <c:numCache>
                <c:formatCode>0.00%</c:formatCode>
                <c:ptCount val="7"/>
                <c:pt idx="0">
                  <c:v>3.8284717818643059E-2</c:v>
                </c:pt>
                <c:pt idx="1">
                  <c:v>4.8722089203185034E-2</c:v>
                </c:pt>
                <c:pt idx="2">
                  <c:v>3.6034095454965172E-2</c:v>
                </c:pt>
                <c:pt idx="3">
                  <c:v>4.2977517753983153E-2</c:v>
                </c:pt>
                <c:pt idx="4">
                  <c:v>6.2170483782529838E-2</c:v>
                </c:pt>
                <c:pt idx="5">
                  <c:v>4.5746650691645824E-2</c:v>
                </c:pt>
                <c:pt idx="6">
                  <c:v>7.7371048252911814E-2</c:v>
                </c:pt>
              </c:numCache>
            </c:numRef>
          </c:val>
        </c:ser>
        <c:dLbls>
          <c:showLegendKey val="0"/>
          <c:showVal val="0"/>
          <c:showCatName val="0"/>
          <c:showSerName val="0"/>
          <c:showPercent val="0"/>
          <c:showBubbleSize val="0"/>
        </c:dLbls>
        <c:gapWidth val="150"/>
        <c:axId val="83387520"/>
        <c:axId val="83389056"/>
      </c:barChart>
      <c:catAx>
        <c:axId val="83387520"/>
        <c:scaling>
          <c:orientation val="minMax"/>
        </c:scaling>
        <c:delete val="0"/>
        <c:axPos val="b"/>
        <c:majorTickMark val="out"/>
        <c:minorTickMark val="none"/>
        <c:tickLblPos val="nextTo"/>
        <c:txPr>
          <a:bodyPr/>
          <a:lstStyle/>
          <a:p>
            <a:pPr>
              <a:defRPr>
                <a:latin typeface="Arial" pitchFamily="34" charset="0"/>
                <a:cs typeface="Arial" pitchFamily="34" charset="0"/>
              </a:defRPr>
            </a:pPr>
            <a:endParaRPr lang="en-US"/>
          </a:p>
        </c:txPr>
        <c:crossAx val="83389056"/>
        <c:crosses val="autoZero"/>
        <c:auto val="1"/>
        <c:lblAlgn val="ctr"/>
        <c:lblOffset val="100"/>
        <c:noMultiLvlLbl val="0"/>
      </c:catAx>
      <c:valAx>
        <c:axId val="83389056"/>
        <c:scaling>
          <c:orientation val="minMax"/>
          <c:max val="0.5"/>
        </c:scaling>
        <c:delete val="0"/>
        <c:axPos val="l"/>
        <c:majorGridlines/>
        <c:numFmt formatCode="0%" sourceLinked="0"/>
        <c:majorTickMark val="out"/>
        <c:minorTickMark val="none"/>
        <c:tickLblPos val="nextTo"/>
        <c:txPr>
          <a:bodyPr/>
          <a:lstStyle/>
          <a:p>
            <a:pPr>
              <a:defRPr>
                <a:latin typeface="Arial" pitchFamily="34" charset="0"/>
                <a:cs typeface="Arial" pitchFamily="34" charset="0"/>
              </a:defRPr>
            </a:pPr>
            <a:endParaRPr lang="en-US"/>
          </a:p>
        </c:txPr>
        <c:crossAx val="83387520"/>
        <c:crosses val="autoZero"/>
        <c:crossBetween val="between"/>
        <c:majorUnit val="0.1"/>
      </c:valAx>
    </c:plotArea>
    <c:legend>
      <c:legendPos val="r"/>
      <c:layout>
        <c:manualLayout>
          <c:xMode val="edge"/>
          <c:yMode val="edge"/>
          <c:x val="0"/>
          <c:y val="0.93943104768153995"/>
          <c:w val="0.40122083697871097"/>
          <c:h val="5.6323272090988613E-2"/>
        </c:manualLayout>
      </c:layout>
      <c:overlay val="0"/>
    </c:legend>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27515310586177"/>
          <c:y val="0.17743930446194314"/>
          <c:w val="0.83293890347040145"/>
          <c:h val="0.64455107174103232"/>
        </c:manualLayout>
      </c:layout>
      <c:barChart>
        <c:barDir val="col"/>
        <c:grouping val="clustered"/>
        <c:varyColors val="0"/>
        <c:ser>
          <c:idx val="0"/>
          <c:order val="0"/>
          <c:tx>
            <c:strRef>
              <c:f>'Disparity ratio'!$A$32</c:f>
              <c:strCache>
                <c:ptCount val="1"/>
                <c:pt idx="0">
                  <c:v>African American</c:v>
                </c:pt>
              </c:strCache>
            </c:strRef>
          </c:tx>
          <c:invertIfNegative val="0"/>
          <c:cat>
            <c:strRef>
              <c:f>'Disparity ratio'!$B$2:$H$2</c:f>
              <c:strCache>
                <c:ptCount val="7"/>
                <c:pt idx="0">
                  <c:v>Champaign</c:v>
                </c:pt>
                <c:pt idx="1">
                  <c:v>Macon</c:v>
                </c:pt>
                <c:pt idx="2">
                  <c:v>McLean</c:v>
                </c:pt>
                <c:pt idx="3">
                  <c:v>Peoria</c:v>
                </c:pt>
                <c:pt idx="4">
                  <c:v>Rock Island</c:v>
                </c:pt>
                <c:pt idx="5">
                  <c:v>Sangamon</c:v>
                </c:pt>
                <c:pt idx="6">
                  <c:v>Vermilion</c:v>
                </c:pt>
              </c:strCache>
            </c:strRef>
          </c:cat>
          <c:val>
            <c:numRef>
              <c:f>'Disparity ratio'!$B$32:$H$32</c:f>
              <c:numCache>
                <c:formatCode>0.00%</c:formatCode>
                <c:ptCount val="7"/>
                <c:pt idx="0">
                  <c:v>0.31349628055260442</c:v>
                </c:pt>
                <c:pt idx="1">
                  <c:v>0.39469026548672581</c:v>
                </c:pt>
                <c:pt idx="2">
                  <c:v>0.39801980198019904</c:v>
                </c:pt>
                <c:pt idx="3">
                  <c:v>0.32139737991266543</c:v>
                </c:pt>
                <c:pt idx="4">
                  <c:v>0.42857142857142855</c:v>
                </c:pt>
                <c:pt idx="5">
                  <c:v>0.26796116504854434</c:v>
                </c:pt>
                <c:pt idx="6">
                  <c:v>0.31377551020408223</c:v>
                </c:pt>
              </c:numCache>
            </c:numRef>
          </c:val>
        </c:ser>
        <c:ser>
          <c:idx val="1"/>
          <c:order val="1"/>
          <c:tx>
            <c:strRef>
              <c:f>'Disparity ratio'!$A$33</c:f>
              <c:strCache>
                <c:ptCount val="1"/>
                <c:pt idx="0">
                  <c:v>Caucasian</c:v>
                </c:pt>
              </c:strCache>
            </c:strRef>
          </c:tx>
          <c:invertIfNegative val="0"/>
          <c:cat>
            <c:strRef>
              <c:f>'Disparity ratio'!$B$2:$H$2</c:f>
              <c:strCache>
                <c:ptCount val="7"/>
                <c:pt idx="0">
                  <c:v>Champaign</c:v>
                </c:pt>
                <c:pt idx="1">
                  <c:v>Macon</c:v>
                </c:pt>
                <c:pt idx="2">
                  <c:v>McLean</c:v>
                </c:pt>
                <c:pt idx="3">
                  <c:v>Peoria</c:v>
                </c:pt>
                <c:pt idx="4">
                  <c:v>Rock Island</c:v>
                </c:pt>
                <c:pt idx="5">
                  <c:v>Sangamon</c:v>
                </c:pt>
                <c:pt idx="6">
                  <c:v>Vermilion</c:v>
                </c:pt>
              </c:strCache>
            </c:strRef>
          </c:cat>
          <c:val>
            <c:numRef>
              <c:f>'Disparity ratio'!$B$33:$H$33</c:f>
              <c:numCache>
                <c:formatCode>0.00%</c:formatCode>
                <c:ptCount val="7"/>
                <c:pt idx="0">
                  <c:v>0.22446808510638347</c:v>
                </c:pt>
                <c:pt idx="1">
                  <c:v>0.38742857142857268</c:v>
                </c:pt>
                <c:pt idx="2">
                  <c:v>0.32418069087688339</c:v>
                </c:pt>
                <c:pt idx="3">
                  <c:v>0.25752212389380597</c:v>
                </c:pt>
                <c:pt idx="4">
                  <c:v>0.32496607869742311</c:v>
                </c:pt>
                <c:pt idx="5">
                  <c:v>0.23692307692307688</c:v>
                </c:pt>
                <c:pt idx="6">
                  <c:v>0.28093023255813876</c:v>
                </c:pt>
              </c:numCache>
            </c:numRef>
          </c:val>
        </c:ser>
        <c:dLbls>
          <c:showLegendKey val="0"/>
          <c:showVal val="0"/>
          <c:showCatName val="0"/>
          <c:showSerName val="0"/>
          <c:showPercent val="0"/>
          <c:showBubbleSize val="0"/>
        </c:dLbls>
        <c:gapWidth val="150"/>
        <c:axId val="83435520"/>
        <c:axId val="83437056"/>
      </c:barChart>
      <c:catAx>
        <c:axId val="83435520"/>
        <c:scaling>
          <c:orientation val="minMax"/>
        </c:scaling>
        <c:delete val="0"/>
        <c:axPos val="b"/>
        <c:majorTickMark val="out"/>
        <c:minorTickMark val="none"/>
        <c:tickLblPos val="nextTo"/>
        <c:txPr>
          <a:bodyPr/>
          <a:lstStyle/>
          <a:p>
            <a:pPr>
              <a:defRPr>
                <a:latin typeface="Arial" pitchFamily="34" charset="0"/>
                <a:cs typeface="Arial" pitchFamily="34" charset="0"/>
              </a:defRPr>
            </a:pPr>
            <a:endParaRPr lang="en-US"/>
          </a:p>
        </c:txPr>
        <c:crossAx val="83437056"/>
        <c:crosses val="autoZero"/>
        <c:auto val="1"/>
        <c:lblAlgn val="ctr"/>
        <c:lblOffset val="100"/>
        <c:noMultiLvlLbl val="0"/>
      </c:catAx>
      <c:valAx>
        <c:axId val="83437056"/>
        <c:scaling>
          <c:orientation val="minMax"/>
          <c:max val="0.5"/>
        </c:scaling>
        <c:delete val="0"/>
        <c:axPos val="l"/>
        <c:majorGridlines/>
        <c:numFmt formatCode="0%" sourceLinked="0"/>
        <c:majorTickMark val="out"/>
        <c:minorTickMark val="none"/>
        <c:tickLblPos val="nextTo"/>
        <c:txPr>
          <a:bodyPr/>
          <a:lstStyle/>
          <a:p>
            <a:pPr>
              <a:defRPr>
                <a:latin typeface="Arial" pitchFamily="34" charset="0"/>
                <a:cs typeface="Arial" pitchFamily="34" charset="0"/>
              </a:defRPr>
            </a:pPr>
            <a:endParaRPr lang="en-US"/>
          </a:p>
        </c:txPr>
        <c:crossAx val="83435520"/>
        <c:crosses val="autoZero"/>
        <c:crossBetween val="between"/>
        <c:majorUnit val="0.1"/>
      </c:valAx>
    </c:plotArea>
    <c:legend>
      <c:legendPos val="r"/>
      <c:layout>
        <c:manualLayout>
          <c:xMode val="edge"/>
          <c:yMode val="edge"/>
          <c:x val="0"/>
          <c:y val="0.93943104768153995"/>
          <c:w val="0.40122083697871097"/>
          <c:h val="5.6323272090988613E-2"/>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0.49375</cdr:x>
      <cdr:y>0</cdr:y>
    </cdr:from>
    <cdr:to>
      <cdr:x>0.69375</cdr:x>
      <cdr:y>0.11458</cdr:y>
    </cdr:to>
    <cdr:sp macro="" textlink="">
      <cdr:nvSpPr>
        <cdr:cNvPr id="2" name="TextBox 1"/>
        <cdr:cNvSpPr txBox="1"/>
      </cdr:nvSpPr>
      <cdr:spPr>
        <a:xfrm xmlns:a="http://schemas.openxmlformats.org/drawingml/2006/main">
          <a:off x="2257425" y="0"/>
          <a:ext cx="914400" cy="3143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0.05903</cdr:x>
      <cdr:y>0</cdr:y>
    </cdr:from>
    <cdr:to>
      <cdr:x>0.97222</cdr:x>
      <cdr:y>0.23698</cdr:y>
    </cdr:to>
    <cdr:sp macro="" textlink="">
      <cdr:nvSpPr>
        <cdr:cNvPr id="2" name="TextBox 1"/>
        <cdr:cNvSpPr txBox="1"/>
      </cdr:nvSpPr>
      <cdr:spPr>
        <a:xfrm xmlns:a="http://schemas.openxmlformats.org/drawingml/2006/main">
          <a:off x="323850" y="0"/>
          <a:ext cx="5010150" cy="8667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b="1" i="1">
              <a:latin typeface="Arial" pitchFamily="34" charset="0"/>
              <a:cs typeface="Arial" pitchFamily="34" charset="0"/>
            </a:rPr>
            <a:t>Percent and Disparity Ratio* of </a:t>
          </a:r>
        </a:p>
        <a:p xmlns:a="http://schemas.openxmlformats.org/drawingml/2006/main">
          <a:pPr algn="ctr"/>
          <a:r>
            <a:rPr lang="en-US" sz="1600" b="1" i="1">
              <a:latin typeface="Arial" pitchFamily="34" charset="0"/>
              <a:cs typeface="Arial" pitchFamily="34" charset="0"/>
            </a:rPr>
            <a:t>Population Who Were Reported, 2010</a:t>
          </a:r>
        </a:p>
        <a:p xmlns:a="http://schemas.openxmlformats.org/drawingml/2006/main">
          <a:pPr algn="ctr"/>
          <a:r>
            <a:rPr lang="en-US" sz="1100" i="1">
              <a:latin typeface="Arial" pitchFamily="34" charset="0"/>
              <a:cs typeface="Arial" pitchFamily="34" charset="0"/>
            </a:rPr>
            <a:t>Source:  Population data from CFRC; All other data from QA</a:t>
          </a:r>
        </a:p>
      </cdr:txBody>
    </cdr:sp>
  </cdr:relSizeAnchor>
</c:userShapes>
</file>

<file path=word/drawings/drawing3.xml><?xml version="1.0" encoding="utf-8"?>
<c:userShapes xmlns:c="http://schemas.openxmlformats.org/drawingml/2006/chart">
  <cdr:relSizeAnchor xmlns:cdr="http://schemas.openxmlformats.org/drawingml/2006/chartDrawing">
    <cdr:from>
      <cdr:x>0.05903</cdr:x>
      <cdr:y>0</cdr:y>
    </cdr:from>
    <cdr:to>
      <cdr:x>0.97222</cdr:x>
      <cdr:y>0.19531</cdr:y>
    </cdr:to>
    <cdr:sp macro="" textlink="">
      <cdr:nvSpPr>
        <cdr:cNvPr id="2" name="TextBox 1"/>
        <cdr:cNvSpPr txBox="1"/>
      </cdr:nvSpPr>
      <cdr:spPr>
        <a:xfrm xmlns:a="http://schemas.openxmlformats.org/drawingml/2006/main">
          <a:off x="323850" y="0"/>
          <a:ext cx="5010150" cy="714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b="1" i="1">
              <a:latin typeface="Arial" pitchFamily="34" charset="0"/>
              <a:cs typeface="Arial" pitchFamily="34" charset="0"/>
            </a:rPr>
            <a:t>Percent and Disparity Ratio* of</a:t>
          </a:r>
        </a:p>
        <a:p xmlns:a="http://schemas.openxmlformats.org/drawingml/2006/main">
          <a:pPr algn="ctr"/>
          <a:r>
            <a:rPr lang="en-US" sz="1600" b="1" i="1">
              <a:latin typeface="Arial" pitchFamily="34" charset="0"/>
              <a:cs typeface="Arial" pitchFamily="34" charset="0"/>
            </a:rPr>
            <a:t>Reported Who Were Indicated, 2010</a:t>
          </a:r>
        </a:p>
        <a:p xmlns:a="http://schemas.openxmlformats.org/drawingml/2006/main">
          <a:pPr algn="ctr"/>
          <a:r>
            <a:rPr lang="en-US" sz="1100" i="1">
              <a:latin typeface="Arial" pitchFamily="34" charset="0"/>
              <a:cs typeface="Arial" pitchFamily="34" charset="0"/>
            </a:rPr>
            <a:t>Source:  QA data</a:t>
          </a:r>
        </a:p>
      </cdr:txBody>
    </cdr:sp>
  </cdr:relSizeAnchor>
</c:userShapes>
</file>

<file path=word/drawings/drawing4.xml><?xml version="1.0" encoding="utf-8"?>
<c:userShapes xmlns:c="http://schemas.openxmlformats.org/drawingml/2006/chart">
  <cdr:relSizeAnchor xmlns:cdr="http://schemas.openxmlformats.org/drawingml/2006/chartDrawing">
    <cdr:from>
      <cdr:x>0.05903</cdr:x>
      <cdr:y>0</cdr:y>
    </cdr:from>
    <cdr:to>
      <cdr:x>0.97222</cdr:x>
      <cdr:y>0.19531</cdr:y>
    </cdr:to>
    <cdr:sp macro="" textlink="">
      <cdr:nvSpPr>
        <cdr:cNvPr id="2" name="TextBox 1"/>
        <cdr:cNvSpPr txBox="1"/>
      </cdr:nvSpPr>
      <cdr:spPr>
        <a:xfrm xmlns:a="http://schemas.openxmlformats.org/drawingml/2006/main">
          <a:off x="323850" y="0"/>
          <a:ext cx="5010150" cy="714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b="1" i="1">
              <a:latin typeface="Arial" pitchFamily="34" charset="0"/>
              <a:cs typeface="Arial" pitchFamily="34" charset="0"/>
            </a:rPr>
            <a:t>Percent and Disparity Ratio* of </a:t>
          </a:r>
        </a:p>
        <a:p xmlns:a="http://schemas.openxmlformats.org/drawingml/2006/main">
          <a:pPr algn="ctr"/>
          <a:r>
            <a:rPr lang="en-US" sz="1600" b="1" i="1">
              <a:latin typeface="Arial" pitchFamily="34" charset="0"/>
              <a:cs typeface="Arial" pitchFamily="34" charset="0"/>
            </a:rPr>
            <a:t>Indicated Who Entered Into Care, 2010</a:t>
          </a:r>
        </a:p>
        <a:p xmlns:a="http://schemas.openxmlformats.org/drawingml/2006/main">
          <a:pPr algn="ctr"/>
          <a:r>
            <a:rPr lang="en-US" sz="1100" i="1">
              <a:latin typeface="Arial" pitchFamily="34" charset="0"/>
              <a:cs typeface="Arial" pitchFamily="34" charset="0"/>
            </a:rPr>
            <a:t>Source:  QA data</a:t>
          </a:r>
        </a:p>
      </cdr:txBody>
    </cdr:sp>
  </cdr:relSizeAnchor>
</c:userShapes>
</file>

<file path=word/drawings/drawing5.xml><?xml version="1.0" encoding="utf-8"?>
<c:userShapes xmlns:c="http://schemas.openxmlformats.org/drawingml/2006/chart">
  <cdr:relSizeAnchor xmlns:cdr="http://schemas.openxmlformats.org/drawingml/2006/chartDrawing">
    <cdr:from>
      <cdr:x>0.05903</cdr:x>
      <cdr:y>0</cdr:y>
    </cdr:from>
    <cdr:to>
      <cdr:x>0.97222</cdr:x>
      <cdr:y>0.19531</cdr:y>
    </cdr:to>
    <cdr:sp macro="" textlink="">
      <cdr:nvSpPr>
        <cdr:cNvPr id="2" name="TextBox 1"/>
        <cdr:cNvSpPr txBox="1"/>
      </cdr:nvSpPr>
      <cdr:spPr>
        <a:xfrm xmlns:a="http://schemas.openxmlformats.org/drawingml/2006/main">
          <a:off x="323850" y="0"/>
          <a:ext cx="5010150" cy="714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b="1" i="1">
              <a:latin typeface="Arial" pitchFamily="34" charset="0"/>
              <a:cs typeface="Arial" pitchFamily="34" charset="0"/>
            </a:rPr>
            <a:t>Percent and Disparity Ratio*</a:t>
          </a:r>
          <a:r>
            <a:rPr lang="en-US" sz="1600" b="1" i="1" baseline="0">
              <a:latin typeface="Arial" pitchFamily="34" charset="0"/>
              <a:cs typeface="Arial" pitchFamily="34" charset="0"/>
            </a:rPr>
            <a:t> </a:t>
          </a:r>
          <a:r>
            <a:rPr lang="en-US" sz="1600" b="1" i="1">
              <a:latin typeface="Arial" pitchFamily="34" charset="0"/>
              <a:cs typeface="Arial" pitchFamily="34" charset="0"/>
            </a:rPr>
            <a:t>of </a:t>
          </a:r>
        </a:p>
        <a:p xmlns:a="http://schemas.openxmlformats.org/drawingml/2006/main">
          <a:pPr algn="ctr"/>
          <a:r>
            <a:rPr lang="en-US" sz="1600" b="1" i="1">
              <a:latin typeface="Arial" pitchFamily="34" charset="0"/>
              <a:cs typeface="Arial" pitchFamily="34" charset="0"/>
            </a:rPr>
            <a:t>Population Who Are in Care, 2010</a:t>
          </a:r>
        </a:p>
        <a:p xmlns:a="http://schemas.openxmlformats.org/drawingml/2006/main">
          <a:pPr algn="ctr"/>
          <a:r>
            <a:rPr lang="en-US" sz="1100" i="1">
              <a:latin typeface="Arial" pitchFamily="34" charset="0"/>
              <a:cs typeface="Arial" pitchFamily="34" charset="0"/>
            </a:rPr>
            <a:t>Source:  Population data from CFRC; All other data from QA</a:t>
          </a:r>
        </a:p>
      </cdr:txBody>
    </cdr:sp>
  </cdr:relSizeAnchor>
</c:userShapes>
</file>

<file path=word/drawings/drawing6.xml><?xml version="1.0" encoding="utf-8"?>
<c:userShapes xmlns:c="http://schemas.openxmlformats.org/drawingml/2006/chart">
  <cdr:relSizeAnchor xmlns:cdr="http://schemas.openxmlformats.org/drawingml/2006/chartDrawing">
    <cdr:from>
      <cdr:x>0.00208</cdr:x>
      <cdr:y>0</cdr:y>
    </cdr:from>
    <cdr:to>
      <cdr:x>1</cdr:x>
      <cdr:y>0.12876</cdr:y>
    </cdr:to>
    <cdr:sp macro="" textlink="">
      <cdr:nvSpPr>
        <cdr:cNvPr id="2" name="TextBox 1"/>
        <cdr:cNvSpPr txBox="1"/>
      </cdr:nvSpPr>
      <cdr:spPr>
        <a:xfrm xmlns:a="http://schemas.openxmlformats.org/drawingml/2006/main">
          <a:off x="9525" y="0"/>
          <a:ext cx="4562475" cy="733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800" b="1">
              <a:latin typeface="Arial" pitchFamily="34" charset="0"/>
              <a:cs typeface="Arial" pitchFamily="34" charset="0"/>
            </a:rPr>
            <a:t>Percent</a:t>
          </a:r>
          <a:r>
            <a:rPr lang="en-US" sz="1800" b="1" baseline="0">
              <a:latin typeface="Arial" pitchFamily="34" charset="0"/>
              <a:cs typeface="Arial" pitchFamily="34" charset="0"/>
            </a:rPr>
            <a:t> in Population Versus </a:t>
          </a:r>
        </a:p>
        <a:p xmlns:a="http://schemas.openxmlformats.org/drawingml/2006/main">
          <a:pPr algn="ctr"/>
          <a:r>
            <a:rPr lang="en-US" sz="1800" b="1" baseline="0">
              <a:latin typeface="Arial" pitchFamily="34" charset="0"/>
              <a:cs typeface="Arial" pitchFamily="34" charset="0"/>
            </a:rPr>
            <a:t>Percent  in Care, FY 2010</a:t>
          </a:r>
          <a:endParaRPr lang="en-US" sz="1800" b="1">
            <a:latin typeface="Arial" pitchFamily="34" charset="0"/>
            <a:cs typeface="Arial" pitchFamily="34" charset="0"/>
          </a:endParaRPr>
        </a:p>
      </cdr:txBody>
    </cdr:sp>
  </cdr:relSizeAnchor>
</c:userShape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Grid">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Grid">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69DF8-F45C-46D6-B537-80B97643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ISU/CAS</Company>
  <LinksUpToDate>false</LinksUpToDate>
  <CharactersWithSpaces>11770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jhoward</dc:creator>
  <cp:lastModifiedBy>Houston, Doris</cp:lastModifiedBy>
  <cp:revision>3</cp:revision>
  <cp:lastPrinted>2013-04-10T18:52:00Z</cp:lastPrinted>
  <dcterms:created xsi:type="dcterms:W3CDTF">2013-04-10T21:42:00Z</dcterms:created>
  <dcterms:modified xsi:type="dcterms:W3CDTF">2013-04-10T21:50:00Z</dcterms:modified>
</cp:coreProperties>
</file>